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Пермского края от 28.12.2017 N 1100-п</w:t>
              <w:br/>
              <w:t xml:space="preserve">(ред. от 30.03.2023)</w:t>
              <w:br/>
              <w:t xml:space="preserve">"Об утверждении Порядка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18.04.2023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ПЕРМСКОГО КРАЯ</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28 декабря 2017 г. N 1100-п</w:t>
      </w:r>
    </w:p>
    <w:p>
      <w:pPr>
        <w:pStyle w:val="2"/>
        <w:jc w:val="center"/>
      </w:pPr>
      <w:r>
        <w:rPr>
          <w:sz w:val="20"/>
        </w:rPr>
      </w:r>
    </w:p>
    <w:p>
      <w:pPr>
        <w:pStyle w:val="2"/>
        <w:jc w:val="center"/>
      </w:pPr>
      <w:r>
        <w:rPr>
          <w:sz w:val="20"/>
        </w:rPr>
        <w:t xml:space="preserve">ОБ УТВЕРЖДЕНИИ ПОРЯДКА ПРЕДОСТАВЛЕНИЯ СУБСИДИЙ</w:t>
      </w:r>
    </w:p>
    <w:p>
      <w:pPr>
        <w:pStyle w:val="2"/>
        <w:jc w:val="center"/>
      </w:pPr>
      <w:r>
        <w:rPr>
          <w:sz w:val="20"/>
        </w:rPr>
        <w:t xml:space="preserve">ИЗ БЮДЖЕТА ПЕРМСКОГО КРАЯ СУБЪЕКТАМ МАЛОГО И СРЕДНЕГО</w:t>
      </w:r>
    </w:p>
    <w:p>
      <w:pPr>
        <w:pStyle w:val="2"/>
        <w:jc w:val="center"/>
      </w:pPr>
      <w:r>
        <w:rPr>
          <w:sz w:val="20"/>
        </w:rPr>
        <w:t xml:space="preserve">ПРЕДПРИНИМАТЕЛЬСТВА В ЦЕЛЯХ ВОЗМЕЩЕНИЯ ЧАСТИ ЗАТРАТ,</w:t>
      </w:r>
    </w:p>
    <w:p>
      <w:pPr>
        <w:pStyle w:val="2"/>
        <w:jc w:val="center"/>
      </w:pPr>
      <w:r>
        <w:rPr>
          <w:sz w:val="20"/>
        </w:rPr>
        <w:t xml:space="preserve">СВЯЗАННЫХ С ОСУЩЕСТВЛЕНИЕМ ИМИ ПРЕДПРИНИМАТЕЛЬСКОЙ</w:t>
      </w:r>
    </w:p>
    <w:p>
      <w:pPr>
        <w:pStyle w:val="2"/>
        <w:jc w:val="center"/>
      </w:pPr>
      <w:r>
        <w:rPr>
          <w:sz w:val="20"/>
        </w:rPr>
        <w:t xml:space="preserve">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Пермского края от 23.05.2018 </w:t>
            </w:r>
            <w:hyperlink w:history="0" r:id="rId7" w:tooltip="Постановление Правительства Пермского края от 23.05.2018 N 276-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276-п</w:t>
              </w:r>
            </w:hyperlink>
            <w:r>
              <w:rPr>
                <w:sz w:val="20"/>
                <w:color w:val="392c69"/>
              </w:rPr>
              <w:t xml:space="preserve">,</w:t>
            </w:r>
          </w:p>
          <w:p>
            <w:pPr>
              <w:pStyle w:val="0"/>
              <w:jc w:val="center"/>
            </w:pPr>
            <w:r>
              <w:rPr>
                <w:sz w:val="20"/>
                <w:color w:val="392c69"/>
              </w:rPr>
              <w:t xml:space="preserve">от 20.12.2018 </w:t>
            </w:r>
            <w:hyperlink w:history="0" r:id="rId8" w:tooltip="Постановление Правительства Пермского края от 20.12.2018 N 84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843-п</w:t>
              </w:r>
            </w:hyperlink>
            <w:r>
              <w:rPr>
                <w:sz w:val="20"/>
                <w:color w:val="392c69"/>
              </w:rPr>
              <w:t xml:space="preserve">, от 23.01.2019 </w:t>
            </w:r>
            <w:hyperlink w:history="0" r:id="rId9" w:tooltip="Постановление Правительства Пермского края от 23.01.2019 N 18-п &quot;О внесении изменения в пункт 2.1.4 Порядка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ого Постановлением Правительства Пермского края от 28 декабря 2017 г. N 1100-п&quot; {КонсультантПлюс}">
              <w:r>
                <w:rPr>
                  <w:sz w:val="20"/>
                  <w:color w:val="0000ff"/>
                </w:rPr>
                <w:t xml:space="preserve">N 18-п</w:t>
              </w:r>
            </w:hyperlink>
            <w:r>
              <w:rPr>
                <w:sz w:val="20"/>
                <w:color w:val="392c69"/>
              </w:rPr>
              <w:t xml:space="preserve">, от 24.12.2019 </w:t>
            </w:r>
            <w:hyperlink w:history="0" r:id="rId10" w:tooltip="Постановление Правительства Пермского края от 24.12.2019 N 980-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980-п</w:t>
              </w:r>
            </w:hyperlink>
            <w:r>
              <w:rPr>
                <w:sz w:val="20"/>
                <w:color w:val="392c69"/>
              </w:rPr>
              <w:t xml:space="preserve">,</w:t>
            </w:r>
          </w:p>
          <w:p>
            <w:pPr>
              <w:pStyle w:val="0"/>
              <w:jc w:val="center"/>
            </w:pPr>
            <w:r>
              <w:rPr>
                <w:sz w:val="20"/>
                <w:color w:val="392c69"/>
              </w:rPr>
              <w:t xml:space="preserve">от 30.01.2020 </w:t>
            </w:r>
            <w:hyperlink w:history="0" r:id="rId11" w:tooltip="Постановление Правительства Пермского края от 30.01.2020 N 40-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40-п</w:t>
              </w:r>
            </w:hyperlink>
            <w:r>
              <w:rPr>
                <w:sz w:val="20"/>
                <w:color w:val="392c69"/>
              </w:rPr>
              <w:t xml:space="preserve">, от 16.09.2020 </w:t>
            </w:r>
            <w:hyperlink w:history="0" r:id="rId12" w:tooltip="Постановление Правительства Пермского края от 16.09.2020 N 688-п &quot;О внесении изменений в отдельные постановления Правительства Пермского края по вопросам развития малого и среднего предпринимательства&quot; {КонсультантПлюс}">
              <w:r>
                <w:rPr>
                  <w:sz w:val="20"/>
                  <w:color w:val="0000ff"/>
                </w:rPr>
                <w:t xml:space="preserve">N 688-п</w:t>
              </w:r>
            </w:hyperlink>
            <w:r>
              <w:rPr>
                <w:sz w:val="20"/>
                <w:color w:val="392c69"/>
              </w:rPr>
              <w:t xml:space="preserve">, от 28.10.2020 </w:t>
            </w:r>
            <w:hyperlink w:history="0" r:id="rId13" w:tooltip="Постановление Правительства Пермского края от 28.10.2020 N 816-п &quot;О внесении изменения в пункт 5.14.1 Порядка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ого Постановлением Правительства Пермского края от 28 декабря 2017 г. N 1100-п&quot; {КонсультантПлюс}">
              <w:r>
                <w:rPr>
                  <w:sz w:val="20"/>
                  <w:color w:val="0000ff"/>
                </w:rPr>
                <w:t xml:space="preserve">N 816-п</w:t>
              </w:r>
            </w:hyperlink>
            <w:r>
              <w:rPr>
                <w:sz w:val="20"/>
                <w:color w:val="392c69"/>
              </w:rPr>
              <w:t xml:space="preserve">,</w:t>
            </w:r>
          </w:p>
          <w:p>
            <w:pPr>
              <w:pStyle w:val="0"/>
              <w:jc w:val="center"/>
            </w:pPr>
            <w:r>
              <w:rPr>
                <w:sz w:val="20"/>
                <w:color w:val="392c69"/>
              </w:rPr>
              <w:t xml:space="preserve">от 30.12.2020 </w:t>
            </w:r>
            <w:hyperlink w:history="0" r:id="rId14" w:tooltip="Постановление Правительства Пермского края от 30.12.2020 N 1068-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1068-п</w:t>
              </w:r>
            </w:hyperlink>
            <w:r>
              <w:rPr>
                <w:sz w:val="20"/>
                <w:color w:val="392c69"/>
              </w:rPr>
              <w:t xml:space="preserve">, от 03.02.2021 </w:t>
            </w:r>
            <w:hyperlink w:history="0" r:id="rId15" w:tooltip="Постановление Правительства Пермского края от 03.02.2021 N 67-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67-п</w:t>
              </w:r>
            </w:hyperlink>
            <w:r>
              <w:rPr>
                <w:sz w:val="20"/>
                <w:color w:val="392c69"/>
              </w:rPr>
              <w:t xml:space="preserve">, от 20.10.2021 </w:t>
            </w:r>
            <w:hyperlink w:history="0" r:id="rId16" w:tooltip="Постановление Правительства Пермского края от 20.10.2021 N 79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793-п</w:t>
              </w:r>
            </w:hyperlink>
            <w:r>
              <w:rPr>
                <w:sz w:val="20"/>
                <w:color w:val="392c69"/>
              </w:rPr>
              <w:t xml:space="preserve">,</w:t>
            </w:r>
          </w:p>
          <w:p>
            <w:pPr>
              <w:pStyle w:val="0"/>
              <w:jc w:val="center"/>
            </w:pPr>
            <w:r>
              <w:rPr>
                <w:sz w:val="20"/>
                <w:color w:val="392c69"/>
              </w:rPr>
              <w:t xml:space="preserve">от 07.04.2022 </w:t>
            </w:r>
            <w:hyperlink w:history="0" r:id="rId17" w:tooltip="Постановление Правительства Пермского края от 07.04.2022 N 285-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285-п</w:t>
              </w:r>
            </w:hyperlink>
            <w:r>
              <w:rPr>
                <w:sz w:val="20"/>
                <w:color w:val="392c69"/>
              </w:rPr>
              <w:t xml:space="preserve">, от 30.03.2023 </w:t>
            </w:r>
            <w:hyperlink w:history="0" r:id="rId18"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222-п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19" w:tooltip="&quot;Бюджетный кодекс Российской Федерации&quot; от 31.07.1998 N 145-ФЗ (ред. от 28.12.2022) (с изм. и доп., вступ. в силу с 01.01.2023) ------------ Недействующая редакция {КонсультантПлюс}">
        <w:r>
          <w:rPr>
            <w:sz w:val="20"/>
            <w:color w:val="0000ff"/>
          </w:rPr>
          <w:t xml:space="preserve">статьей 78</w:t>
        </w:r>
      </w:hyperlink>
      <w:r>
        <w:rPr>
          <w:sz w:val="20"/>
        </w:rPr>
        <w:t xml:space="preserve"> Бюджетного кодекса Российской Федерации, в целях реализации мероприятия "Снижение части затрат субъектам малого и среднего предпринимательства, связанных с осуществлением ими предпринимательской деятельности" государственной </w:t>
      </w:r>
      <w:hyperlink w:history="0" r:id="rId20" w:tooltip="Постановление Правительства Пермского края от 03.10.2013 N 1325-п (ред. от 05.04.2023) &quot;Об утверждении государственной программы Пермского края &quot;Экономическая политика и инновационное развитие&quot; {КонсультантПлюс}">
        <w:r>
          <w:rPr>
            <w:sz w:val="20"/>
            <w:color w:val="0000ff"/>
          </w:rPr>
          <w:t xml:space="preserve">программы</w:t>
        </w:r>
      </w:hyperlink>
      <w:r>
        <w:rPr>
          <w:sz w:val="20"/>
        </w:rPr>
        <w:t xml:space="preserve"> Пермского края "Экономическая политика и инновационное развитие", утвержденной Постановлением Правительства Пермского края от 3 октября 2013 г. N 1325-п, Правительство Пермского края постановляет:</w:t>
      </w:r>
    </w:p>
    <w:p>
      <w:pPr>
        <w:pStyle w:val="0"/>
        <w:jc w:val="both"/>
      </w:pPr>
      <w:r>
        <w:rPr>
          <w:sz w:val="20"/>
        </w:rPr>
      </w:r>
    </w:p>
    <w:p>
      <w:pPr>
        <w:pStyle w:val="0"/>
        <w:ind w:firstLine="540"/>
        <w:jc w:val="both"/>
      </w:pPr>
      <w:r>
        <w:rPr>
          <w:sz w:val="20"/>
        </w:rPr>
        <w:t xml:space="preserve">1. Утвердить прилагаемый </w:t>
      </w:r>
      <w:hyperlink w:history="0" w:anchor="P38" w:tooltip="ПОРЯДОК">
        <w:r>
          <w:rPr>
            <w:sz w:val="20"/>
            <w:color w:val="0000ff"/>
          </w:rPr>
          <w:t xml:space="preserve">Порядок</w:t>
        </w:r>
      </w:hyperlink>
      <w:r>
        <w:rPr>
          <w:sz w:val="20"/>
        </w:rPr>
        <w:t xml:space="preserve">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w:t>
      </w:r>
    </w:p>
    <w:p>
      <w:pPr>
        <w:pStyle w:val="0"/>
        <w:spacing w:before="200" w:line-rule="auto"/>
        <w:ind w:firstLine="540"/>
        <w:jc w:val="both"/>
      </w:pPr>
      <w:r>
        <w:rPr>
          <w:sz w:val="20"/>
        </w:rPr>
        <w:t xml:space="preserve">2. Контроль за исполнением постановления возложить на заместителя председателя Правительства - министра промышленности и торговли Пермского края.</w:t>
      </w:r>
    </w:p>
    <w:p>
      <w:pPr>
        <w:pStyle w:val="0"/>
        <w:jc w:val="both"/>
      </w:pPr>
      <w:r>
        <w:rPr>
          <w:sz w:val="20"/>
        </w:rPr>
        <w:t xml:space="preserve">(в ред. </w:t>
      </w:r>
      <w:hyperlink w:history="0" r:id="rId21" w:tooltip="Постановление Правительства Пермского края от 16.09.2020 N 688-п &quot;О внесении изменений в отдельные постановления Правительства Пермского края по вопросам развития малого и среднего предпринимательства&quot; {КонсультантПлюс}">
        <w:r>
          <w:rPr>
            <w:sz w:val="20"/>
            <w:color w:val="0000ff"/>
          </w:rPr>
          <w:t xml:space="preserve">Постановления</w:t>
        </w:r>
      </w:hyperlink>
      <w:r>
        <w:rPr>
          <w:sz w:val="20"/>
        </w:rPr>
        <w:t xml:space="preserve"> Правительства Пермского края от 16.09.2020 N 688-п)</w:t>
      </w:r>
    </w:p>
    <w:p>
      <w:pPr>
        <w:pStyle w:val="0"/>
        <w:spacing w:before="200" w:line-rule="auto"/>
        <w:ind w:firstLine="540"/>
        <w:jc w:val="both"/>
      </w:pPr>
      <w:r>
        <w:rPr>
          <w:sz w:val="20"/>
        </w:rPr>
        <w:t xml:space="preserve">3. Настоящее Постановление вступает в силу с 1 января 2018 года, но не ранее чем через 10 дней после дня его официального опубликования.</w:t>
      </w:r>
    </w:p>
    <w:p>
      <w:pPr>
        <w:pStyle w:val="0"/>
        <w:jc w:val="both"/>
      </w:pPr>
      <w:r>
        <w:rPr>
          <w:sz w:val="20"/>
        </w:rPr>
      </w:r>
    </w:p>
    <w:p>
      <w:pPr>
        <w:pStyle w:val="0"/>
        <w:jc w:val="right"/>
      </w:pPr>
      <w:r>
        <w:rPr>
          <w:sz w:val="20"/>
        </w:rPr>
        <w:t xml:space="preserve">Губернатор Пермского края</w:t>
      </w:r>
    </w:p>
    <w:p>
      <w:pPr>
        <w:pStyle w:val="0"/>
        <w:jc w:val="right"/>
      </w:pPr>
      <w:r>
        <w:rPr>
          <w:sz w:val="20"/>
        </w:rPr>
        <w:t xml:space="preserve">М.Г.РЕШЕТНИКОВ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w:t>
      </w:r>
    </w:p>
    <w:p>
      <w:pPr>
        <w:pStyle w:val="0"/>
        <w:jc w:val="right"/>
      </w:pPr>
      <w:r>
        <w:rPr>
          <w:sz w:val="20"/>
        </w:rPr>
        <w:t xml:space="preserve">Пермского края</w:t>
      </w:r>
    </w:p>
    <w:p>
      <w:pPr>
        <w:pStyle w:val="0"/>
        <w:jc w:val="right"/>
      </w:pPr>
      <w:r>
        <w:rPr>
          <w:sz w:val="20"/>
        </w:rPr>
        <w:t xml:space="preserve">от 28.12.2017 N 1100-п</w:t>
      </w:r>
    </w:p>
    <w:p>
      <w:pPr>
        <w:pStyle w:val="0"/>
        <w:jc w:val="both"/>
      </w:pPr>
      <w:r>
        <w:rPr>
          <w:sz w:val="20"/>
        </w:rPr>
      </w:r>
    </w:p>
    <w:bookmarkStart w:id="38" w:name="P38"/>
    <w:bookmarkEnd w:id="38"/>
    <w:p>
      <w:pPr>
        <w:pStyle w:val="2"/>
        <w:jc w:val="center"/>
      </w:pPr>
      <w:r>
        <w:rPr>
          <w:sz w:val="20"/>
        </w:rPr>
        <w:t xml:space="preserve">ПОРЯДОК</w:t>
      </w:r>
    </w:p>
    <w:p>
      <w:pPr>
        <w:pStyle w:val="2"/>
        <w:jc w:val="center"/>
      </w:pPr>
      <w:r>
        <w:rPr>
          <w:sz w:val="20"/>
        </w:rPr>
        <w:t xml:space="preserve">ПРЕДОСТАВЛЕНИЯ СУБСИДИЙ ИЗ БЮДЖЕТА ПЕРМСКОГО КРАЯ СУБЪЕКТАМ</w:t>
      </w:r>
    </w:p>
    <w:p>
      <w:pPr>
        <w:pStyle w:val="2"/>
        <w:jc w:val="center"/>
      </w:pPr>
      <w:r>
        <w:rPr>
          <w:sz w:val="20"/>
        </w:rPr>
        <w:t xml:space="preserve">МАЛОГО И СРЕДНЕГО ПРЕДПРИНИМАТЕЛЬСТВА В ЦЕЛЯХ ВОЗМЕЩЕНИЯ</w:t>
      </w:r>
    </w:p>
    <w:p>
      <w:pPr>
        <w:pStyle w:val="2"/>
        <w:jc w:val="center"/>
      </w:pPr>
      <w:r>
        <w:rPr>
          <w:sz w:val="20"/>
        </w:rPr>
        <w:t xml:space="preserve">ЧАСТИ ЗАТРАТ, СВЯЗАННЫХ С ОСУЩЕСТВЛЕНИЕМ ИМИ</w:t>
      </w:r>
    </w:p>
    <w:p>
      <w:pPr>
        <w:pStyle w:val="2"/>
        <w:jc w:val="center"/>
      </w:pPr>
      <w:r>
        <w:rPr>
          <w:sz w:val="20"/>
        </w:rPr>
        <w:t xml:space="preserve">ПРЕДПРИНИМАТЕЛЬСКОЙ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Пермского края от 23.05.2018 </w:t>
            </w:r>
            <w:hyperlink w:history="0" r:id="rId22" w:tooltip="Постановление Правительства Пермского края от 23.05.2018 N 276-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276-п</w:t>
              </w:r>
            </w:hyperlink>
            <w:r>
              <w:rPr>
                <w:sz w:val="20"/>
                <w:color w:val="392c69"/>
              </w:rPr>
              <w:t xml:space="preserve">,</w:t>
            </w:r>
          </w:p>
          <w:p>
            <w:pPr>
              <w:pStyle w:val="0"/>
              <w:jc w:val="center"/>
            </w:pPr>
            <w:r>
              <w:rPr>
                <w:sz w:val="20"/>
                <w:color w:val="392c69"/>
              </w:rPr>
              <w:t xml:space="preserve">от 20.12.2018 </w:t>
            </w:r>
            <w:hyperlink w:history="0" r:id="rId23" w:tooltip="Постановление Правительства Пермского края от 20.12.2018 N 84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843-п</w:t>
              </w:r>
            </w:hyperlink>
            <w:r>
              <w:rPr>
                <w:sz w:val="20"/>
                <w:color w:val="392c69"/>
              </w:rPr>
              <w:t xml:space="preserve">, от 23.01.2019 </w:t>
            </w:r>
            <w:hyperlink w:history="0" r:id="rId24" w:tooltip="Постановление Правительства Пермского края от 23.01.2019 N 18-п &quot;О внесении изменения в пункт 2.1.4 Порядка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ого Постановлением Правительства Пермского края от 28 декабря 2017 г. N 1100-п&quot; {КонсультантПлюс}">
              <w:r>
                <w:rPr>
                  <w:sz w:val="20"/>
                  <w:color w:val="0000ff"/>
                </w:rPr>
                <w:t xml:space="preserve">N 18-п</w:t>
              </w:r>
            </w:hyperlink>
            <w:r>
              <w:rPr>
                <w:sz w:val="20"/>
                <w:color w:val="392c69"/>
              </w:rPr>
              <w:t xml:space="preserve">, от 24.12.2019 </w:t>
            </w:r>
            <w:hyperlink w:history="0" r:id="rId25" w:tooltip="Постановление Правительства Пермского края от 24.12.2019 N 980-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980-п</w:t>
              </w:r>
            </w:hyperlink>
            <w:r>
              <w:rPr>
                <w:sz w:val="20"/>
                <w:color w:val="392c69"/>
              </w:rPr>
              <w:t xml:space="preserve">,</w:t>
            </w:r>
          </w:p>
          <w:p>
            <w:pPr>
              <w:pStyle w:val="0"/>
              <w:jc w:val="center"/>
            </w:pPr>
            <w:r>
              <w:rPr>
                <w:sz w:val="20"/>
                <w:color w:val="392c69"/>
              </w:rPr>
              <w:t xml:space="preserve">от 30.01.2020 </w:t>
            </w:r>
            <w:hyperlink w:history="0" r:id="rId26" w:tooltip="Постановление Правительства Пермского края от 30.01.2020 N 40-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40-п</w:t>
              </w:r>
            </w:hyperlink>
            <w:r>
              <w:rPr>
                <w:sz w:val="20"/>
                <w:color w:val="392c69"/>
              </w:rPr>
              <w:t xml:space="preserve">, от 16.09.2020 </w:t>
            </w:r>
            <w:hyperlink w:history="0" r:id="rId27" w:tooltip="Постановление Правительства Пермского края от 16.09.2020 N 688-п &quot;О внесении изменений в отдельные постановления Правительства Пермского края по вопросам развития малого и среднего предпринимательства&quot; {КонсультантПлюс}">
              <w:r>
                <w:rPr>
                  <w:sz w:val="20"/>
                  <w:color w:val="0000ff"/>
                </w:rPr>
                <w:t xml:space="preserve">N 688-п</w:t>
              </w:r>
            </w:hyperlink>
            <w:r>
              <w:rPr>
                <w:sz w:val="20"/>
                <w:color w:val="392c69"/>
              </w:rPr>
              <w:t xml:space="preserve">, от 28.10.2020 </w:t>
            </w:r>
            <w:hyperlink w:history="0" r:id="rId28" w:tooltip="Постановление Правительства Пермского края от 28.10.2020 N 816-п &quot;О внесении изменения в пункт 5.14.1 Порядка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ого Постановлением Правительства Пермского края от 28 декабря 2017 г. N 1100-п&quot; {КонсультантПлюс}">
              <w:r>
                <w:rPr>
                  <w:sz w:val="20"/>
                  <w:color w:val="0000ff"/>
                </w:rPr>
                <w:t xml:space="preserve">N 816-п</w:t>
              </w:r>
            </w:hyperlink>
            <w:r>
              <w:rPr>
                <w:sz w:val="20"/>
                <w:color w:val="392c69"/>
              </w:rPr>
              <w:t xml:space="preserve">,</w:t>
            </w:r>
          </w:p>
          <w:p>
            <w:pPr>
              <w:pStyle w:val="0"/>
              <w:jc w:val="center"/>
            </w:pPr>
            <w:r>
              <w:rPr>
                <w:sz w:val="20"/>
                <w:color w:val="392c69"/>
              </w:rPr>
              <w:t xml:space="preserve">от 30.12.2020 </w:t>
            </w:r>
            <w:hyperlink w:history="0" r:id="rId29" w:tooltip="Постановление Правительства Пермского края от 30.12.2020 N 1068-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1068-п</w:t>
              </w:r>
            </w:hyperlink>
            <w:r>
              <w:rPr>
                <w:sz w:val="20"/>
                <w:color w:val="392c69"/>
              </w:rPr>
              <w:t xml:space="preserve">, от 03.02.2021 </w:t>
            </w:r>
            <w:hyperlink w:history="0" r:id="rId30" w:tooltip="Постановление Правительства Пермского края от 03.02.2021 N 67-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67-п</w:t>
              </w:r>
            </w:hyperlink>
            <w:r>
              <w:rPr>
                <w:sz w:val="20"/>
                <w:color w:val="392c69"/>
              </w:rPr>
              <w:t xml:space="preserve">, от 20.10.2021 </w:t>
            </w:r>
            <w:hyperlink w:history="0" r:id="rId31" w:tooltip="Постановление Правительства Пермского края от 20.10.2021 N 79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793-п</w:t>
              </w:r>
            </w:hyperlink>
            <w:r>
              <w:rPr>
                <w:sz w:val="20"/>
                <w:color w:val="392c69"/>
              </w:rPr>
              <w:t xml:space="preserve">,</w:t>
            </w:r>
          </w:p>
          <w:p>
            <w:pPr>
              <w:pStyle w:val="0"/>
              <w:jc w:val="center"/>
            </w:pPr>
            <w:r>
              <w:rPr>
                <w:sz w:val="20"/>
                <w:color w:val="392c69"/>
              </w:rPr>
              <w:t xml:space="preserve">от 07.04.2022 </w:t>
            </w:r>
            <w:hyperlink w:history="0" r:id="rId32" w:tooltip="Постановление Правительства Пермского края от 07.04.2022 N 285-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285-п</w:t>
              </w:r>
            </w:hyperlink>
            <w:r>
              <w:rPr>
                <w:sz w:val="20"/>
                <w:color w:val="392c69"/>
              </w:rPr>
              <w:t xml:space="preserve">, от 30.03.2023 </w:t>
            </w:r>
            <w:hyperlink w:history="0" r:id="rId33"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222-п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Порядок определяет цели и условия предоставления субсидий из бюджета Пермского края субъектам малого и среднего предпринимательства на возмещение части затрат, связанных с осуществлением ими предпринимательской деятельности (далее соответственно - субсидии, субъект МСП), порядок проведения конкурса, связанного с реализацией мероприятия "Снижение части затрат субъектам малого и среднего предпринимательства, связанных с осуществлением ими предпринимательской деятельности" государственной </w:t>
      </w:r>
      <w:hyperlink w:history="0" r:id="rId34" w:tooltip="Постановление Правительства Пермского края от 03.10.2013 N 1325-п (ред. от 05.04.2023) &quot;Об утверждении государственной программы Пермского края &quot;Экономическая политика и инновационное развитие&quot; {КонсультантПлюс}">
        <w:r>
          <w:rPr>
            <w:sz w:val="20"/>
            <w:color w:val="0000ff"/>
          </w:rPr>
          <w:t xml:space="preserve">программы</w:t>
        </w:r>
      </w:hyperlink>
      <w:r>
        <w:rPr>
          <w:sz w:val="20"/>
        </w:rPr>
        <w:t xml:space="preserve"> Пермского края "Экономическая политика и инновационное развитие", утвержденной Постановлением Правительства Пермского края от 3 октября 2013 г. N 1325-п (далее также - конкурс, отбор, конкурсный отбор), критерии отбора и категории субъектов МСП, имеющих право на получение субсидий, а также порядок возврата субсидий.</w:t>
      </w:r>
    </w:p>
    <w:p>
      <w:pPr>
        <w:pStyle w:val="0"/>
        <w:jc w:val="both"/>
      </w:pPr>
      <w:r>
        <w:rPr>
          <w:sz w:val="20"/>
        </w:rPr>
        <w:t xml:space="preserve">(в ред. </w:t>
      </w:r>
      <w:hyperlink w:history="0" r:id="rId35" w:tooltip="Постановление Правительства Пермского края от 24.12.2019 N 980-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24.12.2019 N 980-п)</w:t>
      </w:r>
    </w:p>
    <w:bookmarkStart w:id="54" w:name="P54"/>
    <w:bookmarkEnd w:id="54"/>
    <w:p>
      <w:pPr>
        <w:pStyle w:val="0"/>
        <w:spacing w:before="200" w:line-rule="auto"/>
        <w:ind w:firstLine="540"/>
        <w:jc w:val="both"/>
      </w:pPr>
      <w:r>
        <w:rPr>
          <w:sz w:val="20"/>
        </w:rPr>
        <w:t xml:space="preserve">1.2. Настоящий Порядок предусматривает предоставление субсидии субъектам МСП по направлениям субсидирования:</w:t>
      </w:r>
    </w:p>
    <w:p>
      <w:pPr>
        <w:pStyle w:val="0"/>
        <w:jc w:val="both"/>
      </w:pPr>
      <w:r>
        <w:rPr>
          <w:sz w:val="20"/>
        </w:rPr>
        <w:t xml:space="preserve">(в ред. Постановлений Правительства Пермского края от 30.12.2020 </w:t>
      </w:r>
      <w:hyperlink w:history="0" r:id="rId36" w:tooltip="Постановление Правительства Пермского края от 30.12.2020 N 1068-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1068-п</w:t>
        </w:r>
      </w:hyperlink>
      <w:r>
        <w:rPr>
          <w:sz w:val="20"/>
        </w:rPr>
        <w:t xml:space="preserve">, от 20.10.2021 </w:t>
      </w:r>
      <w:hyperlink w:history="0" r:id="rId37" w:tooltip="Постановление Правительства Пермского края от 20.10.2021 N 79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793-п</w:t>
        </w:r>
      </w:hyperlink>
      <w:r>
        <w:rPr>
          <w:sz w:val="20"/>
        </w:rPr>
        <w:t xml:space="preserve">)</w:t>
      </w:r>
    </w:p>
    <w:bookmarkStart w:id="56" w:name="P56"/>
    <w:bookmarkEnd w:id="56"/>
    <w:p>
      <w:pPr>
        <w:pStyle w:val="0"/>
        <w:spacing w:before="200" w:line-rule="auto"/>
        <w:ind w:firstLine="540"/>
        <w:jc w:val="both"/>
      </w:pPr>
      <w:r>
        <w:rPr>
          <w:sz w:val="20"/>
        </w:rPr>
        <w:t xml:space="preserve">1.2.1. субсидий на возмещение части затрат, связанных с приобретением субъектами МСП оборудования, включая затраты на монтаж оборудования, в целях создания и (или) развития либо модернизации производства товаров (работ, услуг) (далее - субсидия на возмещение части затрат, связанных с приобретением оборудования);</w:t>
      </w:r>
    </w:p>
    <w:bookmarkStart w:id="57" w:name="P57"/>
    <w:bookmarkEnd w:id="57"/>
    <w:p>
      <w:pPr>
        <w:pStyle w:val="0"/>
        <w:spacing w:before="200" w:line-rule="auto"/>
        <w:ind w:firstLine="540"/>
        <w:jc w:val="both"/>
      </w:pPr>
      <w:r>
        <w:rPr>
          <w:sz w:val="20"/>
        </w:rPr>
        <w:t xml:space="preserve">1.2.2. субсидий на возмещение части затрат, связанных с уплатой субъектами малого и среднего предпринимательства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включая затраты на монтаж оборудования (далее - субсидия на возмещение части затрат, связанных с уплатой первого взноса (аванса) по договорам лизинга оборудования).</w:t>
      </w:r>
    </w:p>
    <w:p>
      <w:pPr>
        <w:pStyle w:val="0"/>
        <w:jc w:val="both"/>
      </w:pPr>
      <w:r>
        <w:rPr>
          <w:sz w:val="20"/>
        </w:rPr>
        <w:t xml:space="preserve">(п. 1.2.2 в ред. </w:t>
      </w:r>
      <w:hyperlink w:history="0" r:id="rId38" w:tooltip="Постановление Правительства Пермского края от 24.12.2019 N 980-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24.12.2019 N 980-п)</w:t>
      </w:r>
    </w:p>
    <w:p>
      <w:pPr>
        <w:pStyle w:val="0"/>
        <w:spacing w:before="200" w:line-rule="auto"/>
        <w:ind w:firstLine="540"/>
        <w:jc w:val="both"/>
      </w:pPr>
      <w:r>
        <w:rPr>
          <w:sz w:val="20"/>
        </w:rPr>
        <w:t xml:space="preserve">1.3. Основные понятия, используемые в настоящем Порядке:</w:t>
      </w:r>
    </w:p>
    <w:p>
      <w:pPr>
        <w:pStyle w:val="0"/>
        <w:spacing w:before="200" w:line-rule="auto"/>
        <w:ind w:firstLine="540"/>
        <w:jc w:val="both"/>
      </w:pPr>
      <w:r>
        <w:rPr>
          <w:sz w:val="20"/>
        </w:rPr>
        <w:t xml:space="preserve">1.3.1. бизнес-проект (инвестиционный проект) - бизнес-проект (инвестиционный проект), разработанный субъектом МСП, содержащий характеристику предлагаемой к осуществлению предпринимательской идеи (то есть необходимый комплекс практических мероприятий и способов) с целью получения после ее реализации определенного экономического результата (величины чистой прибыли, дохода, конкретной доли завоеванного целевого рынка и др.), представленный субъектом МСП в целях его реализации на территории Пермского края;</w:t>
      </w:r>
    </w:p>
    <w:p>
      <w:pPr>
        <w:pStyle w:val="0"/>
        <w:jc w:val="both"/>
      </w:pPr>
      <w:r>
        <w:rPr>
          <w:sz w:val="20"/>
        </w:rPr>
        <w:t xml:space="preserve">(в ред. </w:t>
      </w:r>
      <w:hyperlink w:history="0" r:id="rId39" w:tooltip="Постановление Правительства Пермского края от 07.04.2022 N 285-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07.04.2022 N 285-п)</w:t>
      </w:r>
    </w:p>
    <w:p>
      <w:pPr>
        <w:pStyle w:val="0"/>
        <w:spacing w:before="200" w:line-rule="auto"/>
        <w:ind w:firstLine="540"/>
        <w:jc w:val="both"/>
      </w:pPr>
      <w:r>
        <w:rPr>
          <w:sz w:val="20"/>
        </w:rPr>
        <w:t xml:space="preserve">1.3.2-1.3.4. утратили силу. - </w:t>
      </w:r>
      <w:hyperlink w:history="0" r:id="rId40"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w:t>
        </w:r>
      </w:hyperlink>
      <w:r>
        <w:rPr>
          <w:sz w:val="20"/>
        </w:rPr>
        <w:t xml:space="preserve"> Правительства Пермского края от 30.03.2023 N 222-п;</w:t>
      </w:r>
    </w:p>
    <w:bookmarkStart w:id="63" w:name="P63"/>
    <w:bookmarkEnd w:id="63"/>
    <w:p>
      <w:pPr>
        <w:pStyle w:val="0"/>
        <w:spacing w:before="200" w:line-rule="auto"/>
        <w:ind w:firstLine="540"/>
        <w:jc w:val="both"/>
      </w:pPr>
      <w:r>
        <w:rPr>
          <w:sz w:val="20"/>
        </w:rPr>
        <w:t xml:space="preserve">1.3.5. оборудование - основное средство первоначальной стоимостью более 40000 рублей, под которым в целях настоящего Порядка понимаются оборудование, устройства, механизмы, станки, приборы, аппараты, агрегаты, установки, машины, транспортное средство, относящиеся к третьей - десятой амортизационным группам </w:t>
      </w:r>
      <w:hyperlink w:history="0" r:id="rId41" w:tooltip="Постановление Правительства РФ от 01.01.2002 N 1 (ред. от 18.11.2022) &quot;О Классификации основных средств, включаемых в амортизационные группы&quot; {КонсультантПлюс}">
        <w:r>
          <w:rPr>
            <w:sz w:val="20"/>
            <w:color w:val="0000ff"/>
          </w:rPr>
          <w:t xml:space="preserve">Классификации</w:t>
        </w:r>
      </w:hyperlink>
      <w:r>
        <w:rPr>
          <w:sz w:val="20"/>
        </w:rP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субъектами МСП, машин копировальных офсетных листовых для офисов, машин офисных прочих;</w:t>
      </w:r>
    </w:p>
    <w:p>
      <w:pPr>
        <w:pStyle w:val="0"/>
        <w:spacing w:before="200" w:line-rule="auto"/>
        <w:ind w:firstLine="540"/>
        <w:jc w:val="both"/>
      </w:pPr>
      <w:r>
        <w:rPr>
          <w:sz w:val="20"/>
        </w:rPr>
        <w:t xml:space="preserve">транспортное средство - автомобильный транспорт, используемый для регулярной перевозки пассажиров и багажа или перевозки пассажиров и багажа по заказу (за исключением легковых автомобилей), суда, используемые на внутренних водных путях для перевозки пассажиров и грузов.</w:t>
      </w:r>
    </w:p>
    <w:p>
      <w:pPr>
        <w:pStyle w:val="0"/>
        <w:spacing w:before="200" w:line-rule="auto"/>
        <w:ind w:firstLine="540"/>
        <w:jc w:val="both"/>
      </w:pPr>
      <w:r>
        <w:rPr>
          <w:sz w:val="20"/>
        </w:rPr>
        <w:t xml:space="preserve">В рамках настоящего Порядка субсидии на возмещение части затрат, понесенных на приобретение транспортного средства, могут быть предоставлены субъектам МСП, осуществляющим в числе основных видов экономической деятельности виды деятельности, имеющие следующие коды ОКВЭД, установленные Общероссийским </w:t>
      </w:r>
      <w:hyperlink w:history="0" r:id="rId42" w:tooltip="&quot;ОК 029-2014 (КДЕС Ред. 2). Общероссийский классификатор видов экономической деятельности&quot; (утв. Приказом Росстандарта от 31.01.2014 N 14-ст) (ред. от 22.12.2022) {КонсультантПлюс}">
        <w:r>
          <w:rPr>
            <w:sz w:val="20"/>
            <w:color w:val="0000ff"/>
          </w:rPr>
          <w:t xml:space="preserve">классификатором</w:t>
        </w:r>
      </w:hyperlink>
      <w:r>
        <w:rPr>
          <w:sz w:val="20"/>
        </w:rPr>
        <w:t xml:space="preserve"> видов экономической деятельности (ОК 029-2014 (КДЕС Ред. 2), утвержденным Приказом Федерального агентства по техническому регулированию и метрологии от 31 января 2014 г. N 14-ст (далее - Общероссийский классификатор видов экономической деятельности): </w:t>
      </w:r>
      <w:hyperlink w:history="0" r:id="rId43" w:tooltip="&quot;ОК 029-2014 (КДЕС Ред. 2). Общероссийский классификатор видов экономической деятельности&quot; (утв. Приказом Росстандарта от 31.01.2014 N 14-ст) (ред. от 22.12.2022) {КонсультантПлюс}">
        <w:r>
          <w:rPr>
            <w:sz w:val="20"/>
            <w:color w:val="0000ff"/>
          </w:rPr>
          <w:t xml:space="preserve">код 55</w:t>
        </w:r>
      </w:hyperlink>
      <w:r>
        <w:rPr>
          <w:sz w:val="20"/>
        </w:rPr>
        <w:t xml:space="preserve">, входящий в раздел I "Деятельность гостиниц и предприятий общественного питания", и </w:t>
      </w:r>
      <w:hyperlink w:history="0" r:id="rId44" w:tooltip="&quot;ОК 029-2014 (КДЕС Ред. 2). Общероссийский классификатор видов экономической деятельности&quot; (утв. Приказом Росстандарта от 31.01.2014 N 14-ст) (ред. от 22.12.2022) {КонсультантПлюс}">
        <w:r>
          <w:rPr>
            <w:sz w:val="20"/>
            <w:color w:val="0000ff"/>
          </w:rPr>
          <w:t xml:space="preserve">код 79</w:t>
        </w:r>
      </w:hyperlink>
      <w:r>
        <w:rPr>
          <w:sz w:val="20"/>
        </w:rPr>
        <w:t xml:space="preserve">, входящий в раздел N "Деятельность административная и сопутствующие дополнительные услуги";</w:t>
      </w:r>
    </w:p>
    <w:p>
      <w:pPr>
        <w:pStyle w:val="0"/>
        <w:jc w:val="both"/>
      </w:pPr>
      <w:r>
        <w:rPr>
          <w:sz w:val="20"/>
        </w:rPr>
        <w:t xml:space="preserve">(п. 1.3.5 в ред. </w:t>
      </w:r>
      <w:hyperlink w:history="0" r:id="rId45" w:tooltip="Постановление Правительства Пермского края от 30.12.2020 N 1068-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30.12.2020 N 1068-п)</w:t>
      </w:r>
    </w:p>
    <w:p>
      <w:pPr>
        <w:pStyle w:val="0"/>
        <w:spacing w:before="200" w:line-rule="auto"/>
        <w:ind w:firstLine="540"/>
        <w:jc w:val="both"/>
      </w:pPr>
      <w:r>
        <w:rPr>
          <w:sz w:val="20"/>
        </w:rPr>
        <w:t xml:space="preserve">1.3.6. субъект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w:t>
      </w:r>
      <w:hyperlink w:history="0" r:id="rId46" w:tooltip="Федеральный закон от 24.07.2007 N 209-ФЗ (ред. от 29.12.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 N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в том числе действующие или начинающие субъекты малого и среднего предпринимательства;</w:t>
      </w:r>
    </w:p>
    <w:p>
      <w:pPr>
        <w:pStyle w:val="0"/>
        <w:spacing w:before="200" w:line-rule="auto"/>
        <w:ind w:firstLine="540"/>
        <w:jc w:val="both"/>
      </w:pPr>
      <w:r>
        <w:rPr>
          <w:sz w:val="20"/>
        </w:rPr>
        <w:t xml:space="preserve">1.3.7. утратил силу. - </w:t>
      </w:r>
      <w:hyperlink w:history="0" r:id="rId47" w:tooltip="Постановление Правительства Пермского края от 20.12.2018 N 84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w:t>
        </w:r>
      </w:hyperlink>
      <w:r>
        <w:rPr>
          <w:sz w:val="20"/>
        </w:rPr>
        <w:t xml:space="preserve"> Правительства Пермского края от 20.12.2018 N 843-п;</w:t>
      </w:r>
    </w:p>
    <w:bookmarkStart w:id="69" w:name="P69"/>
    <w:bookmarkEnd w:id="69"/>
    <w:p>
      <w:pPr>
        <w:pStyle w:val="0"/>
        <w:spacing w:before="200" w:line-rule="auto"/>
        <w:ind w:firstLine="540"/>
        <w:jc w:val="both"/>
      </w:pPr>
      <w:r>
        <w:rPr>
          <w:sz w:val="20"/>
        </w:rPr>
        <w:t xml:space="preserve">1.3.8. приоритетная целевая группа субъектов малого и среднего предпринимательства - группа субъектов МСП, в которую входят:</w:t>
      </w:r>
    </w:p>
    <w:bookmarkStart w:id="70" w:name="P70"/>
    <w:bookmarkEnd w:id="70"/>
    <w:p>
      <w:pPr>
        <w:pStyle w:val="0"/>
        <w:spacing w:before="200" w:line-rule="auto"/>
        <w:ind w:firstLine="540"/>
        <w:jc w:val="both"/>
      </w:pPr>
      <w:r>
        <w:rPr>
          <w:sz w:val="20"/>
        </w:rPr>
        <w:t xml:space="preserve">субъекты МСП, зарегистрированные и осуществляющие деятельность на территории монопрофильного муниципального образования (моногорода) Пермского края, сведения о котором входят в </w:t>
      </w:r>
      <w:hyperlink w:history="0" r:id="rId48" w:tooltip="Распоряжение Правительства РФ от 29.07.2014 N 1398-р (ред. от 21.01.2020) &lt;Об утверждении перечня монопрофильных муниципальных образований Российской Федерации (моногородов)&gt; {КонсультантПлюс}">
        <w:r>
          <w:rPr>
            <w:sz w:val="20"/>
            <w:color w:val="0000ff"/>
          </w:rPr>
          <w:t xml:space="preserve">перечень</w:t>
        </w:r>
      </w:hyperlink>
      <w:r>
        <w:rPr>
          <w:sz w:val="20"/>
        </w:rP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 июля 2014 г. N 1398-р, или осуществляющие деятельность на территории такого монопрофильного муниципального образования (моногорода) Пермского края через свое обособленное подразделение, поставленное на учет в налоговом органе соответствующего монопрофильного муниципального образования (моногорода) Пермского края;</w:t>
      </w:r>
    </w:p>
    <w:p>
      <w:pPr>
        <w:pStyle w:val="0"/>
        <w:spacing w:before="200" w:line-rule="auto"/>
        <w:ind w:firstLine="540"/>
        <w:jc w:val="both"/>
      </w:pPr>
      <w:r>
        <w:rPr>
          <w:sz w:val="20"/>
        </w:rPr>
        <w:t xml:space="preserve">субъекты МСП, имеющие статус социального предприятия в соответствии с </w:t>
      </w:r>
      <w:hyperlink w:history="0" r:id="rId49" w:tooltip="Приказ Минэкономразвития России от 29.11.2019 N 773 (ред. от 26.12.2022) &quot;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quot; (Зарегистрировано в Минюсте России 27.12.2019 N 57022) {КонсультантПлюс}">
        <w:r>
          <w:rPr>
            <w:sz w:val="20"/>
            <w:color w:val="0000ff"/>
          </w:rPr>
          <w:t xml:space="preserve">Порядком</w:t>
        </w:r>
      </w:hyperlink>
      <w:r>
        <w:rPr>
          <w:sz w:val="20"/>
        </w:rPr>
        <w:t xml:space="preserve"> признания субъекта малого или среднего предпринимательства социальным предприятием, утвержденным Приказом Минэкономразвития России от 29 ноября 2019 г. N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 сведения о котором содержатся в Едином реестре субъектов малого и среднего предпринимательства;</w:t>
      </w:r>
    </w:p>
    <w:p>
      <w:pPr>
        <w:pStyle w:val="0"/>
        <w:jc w:val="both"/>
      </w:pPr>
      <w:r>
        <w:rPr>
          <w:sz w:val="20"/>
        </w:rPr>
        <w:t xml:space="preserve">(п. 1.3.8 в ред. </w:t>
      </w:r>
      <w:hyperlink w:history="0" r:id="rId50" w:tooltip="Постановление Правительства Пермского края от 30.12.2020 N 1068-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30.12.2020 N 1068-п)</w:t>
      </w:r>
    </w:p>
    <w:p>
      <w:pPr>
        <w:pStyle w:val="0"/>
        <w:spacing w:before="200" w:line-rule="auto"/>
        <w:ind w:firstLine="540"/>
        <w:jc w:val="both"/>
      </w:pPr>
      <w:r>
        <w:rPr>
          <w:sz w:val="20"/>
        </w:rPr>
        <w:t xml:space="preserve">1.3.9. утратил силу. - </w:t>
      </w:r>
      <w:hyperlink w:history="0" r:id="rId51"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w:t>
        </w:r>
      </w:hyperlink>
      <w:r>
        <w:rPr>
          <w:sz w:val="20"/>
        </w:rPr>
        <w:t xml:space="preserve"> Правительства Пермского края от 30.03.2023 N 222-п.</w:t>
      </w:r>
    </w:p>
    <w:bookmarkStart w:id="74" w:name="P74"/>
    <w:bookmarkEnd w:id="74"/>
    <w:p>
      <w:pPr>
        <w:pStyle w:val="0"/>
        <w:spacing w:before="200" w:line-rule="auto"/>
        <w:ind w:firstLine="540"/>
        <w:jc w:val="both"/>
      </w:pPr>
      <w:r>
        <w:rPr>
          <w:sz w:val="20"/>
        </w:rPr>
        <w:t xml:space="preserve">1.4. Главным распорядителем средств бюджета Пермского края,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текущий финансовый год, является Агентство по развитию малого и среднего предпринимательства Пермского края (далее - Агентство).</w:t>
      </w:r>
    </w:p>
    <w:p>
      <w:pPr>
        <w:pStyle w:val="0"/>
        <w:jc w:val="both"/>
      </w:pPr>
      <w:r>
        <w:rPr>
          <w:sz w:val="20"/>
        </w:rPr>
        <w:t xml:space="preserve">(в ред. Постановлений Правительства Пермского края от 20.12.2018 </w:t>
      </w:r>
      <w:hyperlink w:history="0" r:id="rId52" w:tooltip="Постановление Правительства Пермского края от 20.12.2018 N 84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843-п</w:t>
        </w:r>
      </w:hyperlink>
      <w:r>
        <w:rPr>
          <w:sz w:val="20"/>
        </w:rPr>
        <w:t xml:space="preserve">, от 16.09.2020 </w:t>
      </w:r>
      <w:hyperlink w:history="0" r:id="rId53" w:tooltip="Постановление Правительства Пермского края от 16.09.2020 N 688-п &quot;О внесении изменений в отдельные постановления Правительства Пермского края по вопросам развития малого и среднего предпринимательства&quot; {КонсультантПлюс}">
        <w:r>
          <w:rPr>
            <w:sz w:val="20"/>
            <w:color w:val="0000ff"/>
          </w:rPr>
          <w:t xml:space="preserve">N 688-п</w:t>
        </w:r>
      </w:hyperlink>
      <w:r>
        <w:rPr>
          <w:sz w:val="20"/>
        </w:rPr>
        <w:t xml:space="preserve">)</w:t>
      </w:r>
    </w:p>
    <w:p>
      <w:pPr>
        <w:pStyle w:val="0"/>
        <w:spacing w:before="200" w:line-rule="auto"/>
        <w:ind w:firstLine="540"/>
        <w:jc w:val="both"/>
      </w:pPr>
      <w:r>
        <w:rPr>
          <w:sz w:val="20"/>
        </w:rPr>
        <w:t xml:space="preserve">Субсидии предоставляются субъектам МСП в пределах бюджетных ассигнований, предусмотренных в бюджете Пермского края на очередной финансовый год и на плановый период, и лимитов бюджетных обязательств, утвержденных в установленном порядке на предоставление субсидий.</w:t>
      </w:r>
    </w:p>
    <w:p>
      <w:pPr>
        <w:pStyle w:val="0"/>
        <w:spacing w:before="200" w:line-rule="auto"/>
        <w:ind w:firstLine="540"/>
        <w:jc w:val="both"/>
      </w:pPr>
      <w:r>
        <w:rPr>
          <w:sz w:val="20"/>
        </w:rPr>
        <w:t xml:space="preserve">Субсидии предоставляются по результатам отбора бизнес-проектов (инвестиционных проектов) субъектов МСП, проведенного на конкурсной основе путем определения получателя субсидии исходя из наилучших условий достижения результатов, в целях достижения которых предоставляется субсидия (далее - результат предоставления субсидии).</w:t>
      </w:r>
    </w:p>
    <w:p>
      <w:pPr>
        <w:pStyle w:val="0"/>
        <w:jc w:val="both"/>
      </w:pPr>
      <w:r>
        <w:rPr>
          <w:sz w:val="20"/>
        </w:rPr>
        <w:t xml:space="preserve">(абзац введен </w:t>
      </w:r>
      <w:hyperlink w:history="0" r:id="rId54" w:tooltip="Постановление Правительства Пермского края от 30.12.2020 N 1068-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Постановлением</w:t>
        </w:r>
      </w:hyperlink>
      <w:r>
        <w:rPr>
          <w:sz w:val="20"/>
        </w:rPr>
        <w:t xml:space="preserve"> Правительства Пермского края от 30.12.2020 N 1068-п; в ред. </w:t>
      </w:r>
      <w:hyperlink w:history="0" r:id="rId55" w:tooltip="Постановление Правительства Пермского края от 20.10.2021 N 79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20.10.2021 N 793-п)</w:t>
      </w:r>
    </w:p>
    <w:p>
      <w:pPr>
        <w:pStyle w:val="0"/>
        <w:spacing w:before="200" w:line-rule="auto"/>
        <w:ind w:firstLine="540"/>
        <w:jc w:val="both"/>
      </w:pPr>
      <w:r>
        <w:rPr>
          <w:sz w:val="20"/>
        </w:rP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не позднее 15-го рабочего дня, следующего за днем принятия закона о бюджете Пермского края (закона Пермского края о внесении изменений в закон о бюджете Пермского края).</w:t>
      </w:r>
    </w:p>
    <w:p>
      <w:pPr>
        <w:pStyle w:val="0"/>
        <w:jc w:val="both"/>
      </w:pPr>
      <w:r>
        <w:rPr>
          <w:sz w:val="20"/>
        </w:rPr>
        <w:t xml:space="preserve">(абзац введен </w:t>
      </w:r>
      <w:hyperlink w:history="0" r:id="rId56" w:tooltip="Постановление Правительства Пермского края от 30.12.2020 N 1068-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Постановлением</w:t>
        </w:r>
      </w:hyperlink>
      <w:r>
        <w:rPr>
          <w:sz w:val="20"/>
        </w:rPr>
        <w:t xml:space="preserve"> Правительства Пермского края от 30.12.2020 N 1068-п; в ред. Постановлений Правительства Пермского края от 20.10.2021 </w:t>
      </w:r>
      <w:hyperlink w:history="0" r:id="rId57" w:tooltip="Постановление Правительства Пермского края от 20.10.2021 N 79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793-п</w:t>
        </w:r>
      </w:hyperlink>
      <w:r>
        <w:rPr>
          <w:sz w:val="20"/>
        </w:rPr>
        <w:t xml:space="preserve">, от 30.03.2023 </w:t>
      </w:r>
      <w:hyperlink w:history="0" r:id="rId58"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222-п</w:t>
        </w:r>
      </w:hyperlink>
      <w:r>
        <w:rPr>
          <w:sz w:val="20"/>
        </w:rPr>
        <w:t xml:space="preserve">)</w:t>
      </w:r>
    </w:p>
    <w:bookmarkStart w:id="81" w:name="P81"/>
    <w:bookmarkEnd w:id="81"/>
    <w:p>
      <w:pPr>
        <w:pStyle w:val="0"/>
        <w:spacing w:before="200" w:line-rule="auto"/>
        <w:ind w:firstLine="540"/>
        <w:jc w:val="both"/>
      </w:pPr>
      <w:r>
        <w:rPr>
          <w:sz w:val="20"/>
        </w:rPr>
        <w:t xml:space="preserve">1.5. Результатом предоставления субсидии является создание новых рабочих мест (включая вновь зарегистрированных индивидуальных предпринимателей) субъектами МСП, получившими субсидию, значение которого рассчитывается в соответствии с </w:t>
      </w:r>
      <w:hyperlink w:history="0" w:anchor="P459" w:tooltip="6.5.1. количество вновь созданных рабочих мест (включая вновь зарегистрированных индивидуальных предпринимателей) субъектами МСП, получившими субсидию, рассчитывается на основании сведений, указанных в пункте 3.16 паспорта бизнес-проекта (инвестиционного проекта) субъекта малого и среднего предпринимательства;">
        <w:r>
          <w:rPr>
            <w:sz w:val="20"/>
            <w:color w:val="0000ff"/>
          </w:rPr>
          <w:t xml:space="preserve">пунктом 6.5.1</w:t>
        </w:r>
      </w:hyperlink>
      <w:r>
        <w:rPr>
          <w:sz w:val="20"/>
        </w:rPr>
        <w:t xml:space="preserve"> настоящего Порядка и в году предоставления субсидии не может быть менее двух рабочих мест.</w:t>
      </w:r>
    </w:p>
    <w:p>
      <w:pPr>
        <w:pStyle w:val="0"/>
        <w:spacing w:before="200" w:line-rule="auto"/>
        <w:ind w:firstLine="540"/>
        <w:jc w:val="both"/>
      </w:pPr>
      <w:r>
        <w:rPr>
          <w:sz w:val="20"/>
        </w:rPr>
        <w:t xml:space="preserve">Характеристиками, необходимыми для достижения результата предоставления субсидии, являются:</w:t>
      </w:r>
    </w:p>
    <w:p>
      <w:pPr>
        <w:pStyle w:val="0"/>
        <w:jc w:val="both"/>
      </w:pPr>
      <w:r>
        <w:rPr>
          <w:sz w:val="20"/>
        </w:rPr>
        <w:t xml:space="preserve">(в ред. Постановлений Правительства Пермского края от 20.10.2021 </w:t>
      </w:r>
      <w:hyperlink w:history="0" r:id="rId59" w:tooltip="Постановление Правительства Пермского края от 20.10.2021 N 79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793-п</w:t>
        </w:r>
      </w:hyperlink>
      <w:r>
        <w:rPr>
          <w:sz w:val="20"/>
        </w:rPr>
        <w:t xml:space="preserve">, от 30.03.2023 </w:t>
      </w:r>
      <w:hyperlink w:history="0" r:id="rId60"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222-п</w:t>
        </w:r>
      </w:hyperlink>
      <w:r>
        <w:rPr>
          <w:sz w:val="20"/>
        </w:rPr>
        <w:t xml:space="preserve">)</w:t>
      </w:r>
    </w:p>
    <w:p>
      <w:pPr>
        <w:pStyle w:val="0"/>
        <w:spacing w:before="200" w:line-rule="auto"/>
        <w:ind w:firstLine="540"/>
        <w:jc w:val="both"/>
      </w:pPr>
      <w:r>
        <w:rPr>
          <w:sz w:val="20"/>
        </w:rPr>
        <w:t xml:space="preserve">прирост среднесписочной численности работников (без внешних совместителей), занятых у субъектов МСП, получивших субсидию, значение которого рассчитывается в соответствии с </w:t>
      </w:r>
      <w:hyperlink w:history="0" w:anchor="P461" w:tooltip="6.5.2. прирост среднесписочной численности работников (без внешних совместителей), занятых у субъектов МСП, получивших субсидию, рассчитывается на основании сведений, указанных в пунктах 2.3, 3.17 паспорта бизнес-проекта (инвестиционного проекта) субъекта малого и среднего предпринимательства, характеризующих среднесписочную численность работников (без внешних совместителей), занятых у субъектов МСП, на начало и конец периода, в котором субъекты МСП получили субсидию.">
        <w:r>
          <w:rPr>
            <w:sz w:val="20"/>
            <w:color w:val="0000ff"/>
          </w:rPr>
          <w:t xml:space="preserve">пунктом 6.5.2</w:t>
        </w:r>
      </w:hyperlink>
      <w:r>
        <w:rPr>
          <w:sz w:val="20"/>
        </w:rPr>
        <w:t xml:space="preserve"> настоящего Порядка и в году предоставления субсидии не может быть менее 2%;</w:t>
      </w:r>
    </w:p>
    <w:p>
      <w:pPr>
        <w:pStyle w:val="0"/>
        <w:spacing w:before="200" w:line-rule="auto"/>
        <w:ind w:firstLine="540"/>
        <w:jc w:val="both"/>
      </w:pPr>
      <w:r>
        <w:rPr>
          <w:sz w:val="20"/>
        </w:rPr>
        <w:t xml:space="preserve">увеличение оборота (выручки) от продажи товаров, выполнения работ, оказания услуг на начало и конец года, в котором субъект МСП получил субсидию, значение которого рассчитывается в соответствии с </w:t>
      </w:r>
      <w:hyperlink w:history="0" w:anchor="P472" w:tooltip="6.5.3. увеличение оборота (выручки) от продажи товаров, выполнения работ, оказания услуг на начало и конец года, в котором субъект МСП получил субсидию, рассчитывается на основании сведений, указанных в пунктах 2.1, 3.12 паспорта бизнес-проекта (инвестиционного проекта) субъекта малого и среднего предпринимательства, характеризующих оборот (выручку) субъекта МСП от продажи товаров, выполнения работ и оказания услуг на начало и на конец периода, в котором субъекты МСП получили субсидию.">
        <w:r>
          <w:rPr>
            <w:sz w:val="20"/>
            <w:color w:val="0000ff"/>
          </w:rPr>
          <w:t xml:space="preserve">пунктом 6.5.3</w:t>
        </w:r>
      </w:hyperlink>
      <w:r>
        <w:rPr>
          <w:sz w:val="20"/>
        </w:rPr>
        <w:t xml:space="preserve"> настоящего Порядка и в году предоставления субсидии не может быть менее 2%.</w:t>
      </w:r>
    </w:p>
    <w:p>
      <w:pPr>
        <w:pStyle w:val="0"/>
        <w:spacing w:before="200" w:line-rule="auto"/>
        <w:ind w:firstLine="540"/>
        <w:jc w:val="both"/>
      </w:pPr>
      <w:r>
        <w:rPr>
          <w:sz w:val="20"/>
        </w:rPr>
        <w:t xml:space="preserve">Значения результата предоставления субсидии устанавливаются Агентством в соглашении о предоставлении субсидии, заключаемом в соответствии с </w:t>
      </w:r>
      <w:hyperlink w:history="0" w:anchor="P399" w:tooltip="5.21. Субсидия предоставляется на основании соглашения о предоставлении субсидии (далее - Соглашение), заключенного между победителем конкурса (далее - получатель субсидии) и Агентством в соответствии с типовой формой, утвержденной Министерством финансов Пермского края.">
        <w:r>
          <w:rPr>
            <w:sz w:val="20"/>
            <w:color w:val="0000ff"/>
          </w:rPr>
          <w:t xml:space="preserve">пунктом 5.21</w:t>
        </w:r>
      </w:hyperlink>
      <w:r>
        <w:rPr>
          <w:sz w:val="20"/>
        </w:rPr>
        <w:t xml:space="preserve"> настоящего Порядка.</w:t>
      </w:r>
    </w:p>
    <w:p>
      <w:pPr>
        <w:pStyle w:val="0"/>
        <w:jc w:val="both"/>
      </w:pPr>
      <w:r>
        <w:rPr>
          <w:sz w:val="20"/>
        </w:rPr>
        <w:t xml:space="preserve">(п. 1.5 в ред. </w:t>
      </w:r>
      <w:hyperlink w:history="0" r:id="rId61" w:tooltip="Постановление Правительства Пермского края от 30.12.2020 N 1068-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30.12.2020 N 1068-п)</w:t>
      </w:r>
    </w:p>
    <w:p>
      <w:pPr>
        <w:pStyle w:val="0"/>
        <w:spacing w:before="200" w:line-rule="auto"/>
        <w:ind w:firstLine="540"/>
        <w:jc w:val="both"/>
      </w:pPr>
      <w:r>
        <w:rPr>
          <w:sz w:val="20"/>
        </w:rPr>
        <w:t xml:space="preserve">1.6. Участие субъекта МСП в конкурсном отборе осуществляется на добровольной основе. Субсидия предоставляется субъекту МСП не более чем один раз в три года.</w:t>
      </w:r>
    </w:p>
    <w:p>
      <w:pPr>
        <w:pStyle w:val="0"/>
        <w:jc w:val="both"/>
      </w:pPr>
      <w:r>
        <w:rPr>
          <w:sz w:val="20"/>
        </w:rPr>
        <w:t xml:space="preserve">(п. 1.6 введен </w:t>
      </w:r>
      <w:hyperlink w:history="0" r:id="rId62"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Постановлением</w:t>
        </w:r>
      </w:hyperlink>
      <w:r>
        <w:rPr>
          <w:sz w:val="20"/>
        </w:rPr>
        <w:t xml:space="preserve"> Правительства Пермского края от 30.03.2023 N 222-п)</w:t>
      </w:r>
    </w:p>
    <w:p>
      <w:pPr>
        <w:pStyle w:val="0"/>
        <w:jc w:val="both"/>
      </w:pPr>
      <w:r>
        <w:rPr>
          <w:sz w:val="20"/>
        </w:rPr>
      </w:r>
    </w:p>
    <w:p>
      <w:pPr>
        <w:pStyle w:val="2"/>
        <w:outlineLvl w:val="1"/>
        <w:jc w:val="center"/>
      </w:pPr>
      <w:r>
        <w:rPr>
          <w:sz w:val="20"/>
        </w:rPr>
        <w:t xml:space="preserve">II. Категории субъектов МСП, имеющих право на получение</w:t>
      </w:r>
    </w:p>
    <w:p>
      <w:pPr>
        <w:pStyle w:val="2"/>
        <w:jc w:val="center"/>
      </w:pPr>
      <w:r>
        <w:rPr>
          <w:sz w:val="20"/>
        </w:rPr>
        <w:t xml:space="preserve">субсидий</w:t>
      </w:r>
    </w:p>
    <w:p>
      <w:pPr>
        <w:pStyle w:val="0"/>
        <w:jc w:val="both"/>
      </w:pPr>
      <w:r>
        <w:rPr>
          <w:sz w:val="20"/>
        </w:rPr>
      </w:r>
    </w:p>
    <w:bookmarkStart w:id="94" w:name="P94"/>
    <w:bookmarkEnd w:id="94"/>
    <w:p>
      <w:pPr>
        <w:pStyle w:val="0"/>
        <w:ind w:firstLine="540"/>
        <w:jc w:val="both"/>
      </w:pPr>
      <w:r>
        <w:rPr>
          <w:sz w:val="20"/>
        </w:rPr>
        <w:t xml:space="preserve">2.1. Субсидии предоставляются субъектам МСП:</w:t>
      </w:r>
    </w:p>
    <w:bookmarkStart w:id="95" w:name="P95"/>
    <w:bookmarkEnd w:id="95"/>
    <w:p>
      <w:pPr>
        <w:pStyle w:val="0"/>
        <w:spacing w:before="200" w:line-rule="auto"/>
        <w:ind w:firstLine="540"/>
        <w:jc w:val="both"/>
      </w:pPr>
      <w:r>
        <w:rPr>
          <w:sz w:val="20"/>
        </w:rPr>
        <w:t xml:space="preserve">2.1.1. соответствующим категориям субъектов малого и среднего предпринимательства, установленным Федеральным </w:t>
      </w:r>
      <w:hyperlink w:history="0" r:id="rId63" w:tooltip="Федеральный закон от 24.07.2007 N 209-ФЗ (ред. от 29.12.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 N 209-ФЗ "О развитии малого и среднего предпринимательства в Российской Федерации";</w:t>
      </w:r>
    </w:p>
    <w:p>
      <w:pPr>
        <w:pStyle w:val="0"/>
        <w:spacing w:before="200" w:line-rule="auto"/>
        <w:ind w:firstLine="540"/>
        <w:jc w:val="both"/>
      </w:pPr>
      <w:r>
        <w:rPr>
          <w:sz w:val="20"/>
        </w:rPr>
        <w:t xml:space="preserve">2.1.2. зарегистрированным и осуществляющим деятельность на территории Пермского края;</w:t>
      </w:r>
    </w:p>
    <w:p>
      <w:pPr>
        <w:pStyle w:val="0"/>
        <w:jc w:val="both"/>
      </w:pPr>
      <w:r>
        <w:rPr>
          <w:sz w:val="20"/>
        </w:rPr>
        <w:t xml:space="preserve">(п. 2.1.2 в ред. </w:t>
      </w:r>
      <w:hyperlink w:history="0" r:id="rId64" w:tooltip="Постановление Правительства Пермского края от 20.12.2018 N 84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20.12.2018 N 843-п)</w:t>
      </w:r>
    </w:p>
    <w:p>
      <w:pPr>
        <w:pStyle w:val="0"/>
        <w:spacing w:before="200" w:line-rule="auto"/>
        <w:ind w:firstLine="540"/>
        <w:jc w:val="both"/>
      </w:pPr>
      <w:r>
        <w:rPr>
          <w:sz w:val="20"/>
        </w:rPr>
        <w:t xml:space="preserve">2.1.3. сведения о которых включены в Единый реестр субъектов малого и среднего предпринимательства;</w:t>
      </w:r>
    </w:p>
    <w:p>
      <w:pPr>
        <w:pStyle w:val="0"/>
        <w:spacing w:before="200" w:line-rule="auto"/>
        <w:ind w:firstLine="540"/>
        <w:jc w:val="both"/>
      </w:pPr>
      <w:r>
        <w:rPr>
          <w:sz w:val="20"/>
        </w:rPr>
        <w:t xml:space="preserve">2.1.4. осуществляющим в числе основных видов экономической деятельности на момент приобретения оборудования виды деятельности, имеющие код ОКВЭД, установленный Общероссийским </w:t>
      </w:r>
      <w:hyperlink w:history="0" r:id="rId65" w:tooltip="&quot;ОК 029-2014 (КДЕС Ред. 2). Общероссийский классификатор видов экономической деятельности&quot; (утв. Приказом Росстандарта от 31.01.2014 N 14-ст) (ред. от 22.12.2022) {КонсультантПлюс}">
        <w:r>
          <w:rPr>
            <w:sz w:val="20"/>
            <w:color w:val="0000ff"/>
          </w:rPr>
          <w:t xml:space="preserve">классификатором</w:t>
        </w:r>
      </w:hyperlink>
      <w:r>
        <w:rPr>
          <w:sz w:val="20"/>
        </w:rPr>
        <w:t xml:space="preserve"> видов экономической деятельности, входящий в </w:t>
      </w:r>
      <w:hyperlink w:history="0" r:id="rId66" w:tooltip="&quot;ОК 029-2014 (КДЕС Ред. 2). Общероссийский классификатор видов экономической деятельности&quot; (утв. Приказом Росстандарта от 31.01.2014 N 14-ст) (ред. от 22.12.2022) {КонсультантПлюс}">
        <w:r>
          <w:rPr>
            <w:sz w:val="20"/>
            <w:color w:val="0000ff"/>
          </w:rPr>
          <w:t xml:space="preserve">раздел С</w:t>
        </w:r>
      </w:hyperlink>
      <w:r>
        <w:rPr>
          <w:sz w:val="20"/>
        </w:rPr>
        <w:t xml:space="preserve"> "Обрабатывающие производства", за исключением производства подакцизных товаров и </w:t>
      </w:r>
      <w:hyperlink w:history="0" r:id="rId67" w:tooltip="&quot;ОК 029-2014 (КДЕС Ред. 2). Общероссийский классификатор видов экономической деятельности&quot; (утв. Приказом Росстандарта от 31.01.2014 N 14-ст) (ред. от 22.12.2022) {КонсультантПлюс}">
        <w:r>
          <w:rPr>
            <w:sz w:val="20"/>
            <w:color w:val="0000ff"/>
          </w:rPr>
          <w:t xml:space="preserve">кодов 12</w:t>
        </w:r>
      </w:hyperlink>
      <w:r>
        <w:rPr>
          <w:sz w:val="20"/>
        </w:rPr>
        <w:t xml:space="preserve">, </w:t>
      </w:r>
      <w:hyperlink w:history="0" r:id="rId68" w:tooltip="&quot;ОК 029-2014 (КДЕС Ред. 2). Общероссийский классификатор видов экономической деятельности&quot; (утв. Приказом Росстандарта от 31.01.2014 N 14-ст) (ред. от 22.12.2022) {КонсультантПлюс}">
        <w:r>
          <w:rPr>
            <w:sz w:val="20"/>
            <w:color w:val="0000ff"/>
          </w:rPr>
          <w:t xml:space="preserve">18</w:t>
        </w:r>
      </w:hyperlink>
      <w:r>
        <w:rPr>
          <w:sz w:val="20"/>
        </w:rPr>
        <w:t xml:space="preserve">, </w:t>
      </w:r>
      <w:hyperlink w:history="0" r:id="rId69" w:tooltip="&quot;ОК 029-2014 (КДЕС Ред. 2). Общероссийский классификатор видов экономической деятельности&quot; (утв. Приказом Росстандарта от 31.01.2014 N 14-ст) (ред. от 22.12.2022) {КонсультантПлюс}">
        <w:r>
          <w:rPr>
            <w:sz w:val="20"/>
            <w:color w:val="0000ff"/>
          </w:rPr>
          <w:t xml:space="preserve">19</w:t>
        </w:r>
      </w:hyperlink>
      <w:r>
        <w:rPr>
          <w:sz w:val="20"/>
        </w:rPr>
        <w:t xml:space="preserve">, </w:t>
      </w:r>
      <w:hyperlink w:history="0" r:id="rId70" w:tooltip="&quot;ОК 029-2014 (КДЕС Ред. 2). Общероссийский классификатор видов экономической деятельности&quot; (утв. Приказом Росстандарта от 31.01.2014 N 14-ст) (ред. от 22.12.2022) {КонсультантПлюс}">
        <w:r>
          <w:rPr>
            <w:sz w:val="20"/>
            <w:color w:val="0000ff"/>
          </w:rPr>
          <w:t xml:space="preserve">21</w:t>
        </w:r>
      </w:hyperlink>
      <w:r>
        <w:rPr>
          <w:sz w:val="20"/>
        </w:rPr>
        <w:t xml:space="preserve">, </w:t>
      </w:r>
      <w:hyperlink w:history="0" r:id="rId71" w:tooltip="&quot;ОК 029-2014 (КДЕС Ред. 2). Общероссийский классификатор видов экономической деятельности&quot; (утв. Приказом Росстандарта от 31.01.2014 N 14-ст) (ред. от 22.12.2022) {КонсультантПлюс}">
        <w:r>
          <w:rPr>
            <w:sz w:val="20"/>
            <w:color w:val="0000ff"/>
          </w:rPr>
          <w:t xml:space="preserve">30.1</w:t>
        </w:r>
      </w:hyperlink>
      <w:r>
        <w:rPr>
          <w:sz w:val="20"/>
        </w:rPr>
        <w:t xml:space="preserve">; </w:t>
      </w:r>
      <w:hyperlink w:history="0" r:id="rId72" w:tooltip="&quot;ОК 029-2014 (КДЕС Ред. 2). Общероссийский классификатор видов экономической деятельности&quot; (утв. Приказом Росстандарта от 31.01.2014 N 14-ст) (ред. от 22.12.2022) {КонсультантПлюс}">
        <w:r>
          <w:rPr>
            <w:sz w:val="20"/>
            <w:color w:val="0000ff"/>
          </w:rPr>
          <w:t xml:space="preserve">код 38</w:t>
        </w:r>
      </w:hyperlink>
      <w:r>
        <w:rPr>
          <w:sz w:val="20"/>
        </w:rPr>
        <w:t xml:space="preserve">, входящий в раздел E "Водоснабжение; водоотведение, организация сбора и утилизации отходов, деятельность по ликвидации загрязнений"; </w:t>
      </w:r>
      <w:hyperlink w:history="0" r:id="rId73" w:tooltip="&quot;ОК 029-2014 (КДЕС Ред. 2). Общероссийский классификатор видов экономической деятельности&quot; (утв. Приказом Росстандарта от 31.01.2014 N 14-ст) (ред. от 22.12.2022) {КонсультантПлюс}">
        <w:r>
          <w:rPr>
            <w:sz w:val="20"/>
            <w:color w:val="0000ff"/>
          </w:rPr>
          <w:t xml:space="preserve">код 55</w:t>
        </w:r>
      </w:hyperlink>
      <w:r>
        <w:rPr>
          <w:sz w:val="20"/>
        </w:rPr>
        <w:t xml:space="preserve">, входящий в раздел I "Деятельность гостиниц и предприятий общественного питания"; </w:t>
      </w:r>
      <w:hyperlink w:history="0" r:id="rId74" w:tooltip="&quot;ОК 029-2014 (КДЕС Ред. 2). Общероссийский классификатор видов экономической деятельности&quot; (утв. Приказом Росстандарта от 31.01.2014 N 14-ст) (ред. от 22.12.2022) {КонсультантПлюс}">
        <w:r>
          <w:rPr>
            <w:sz w:val="20"/>
            <w:color w:val="0000ff"/>
          </w:rPr>
          <w:t xml:space="preserve">код 79</w:t>
        </w:r>
      </w:hyperlink>
      <w:r>
        <w:rPr>
          <w:sz w:val="20"/>
        </w:rPr>
        <w:t xml:space="preserve">, входящий в раздел N "Деятельность административная и сопутствующие дополнительные услуги".</w:t>
      </w:r>
    </w:p>
    <w:p>
      <w:pPr>
        <w:pStyle w:val="0"/>
        <w:jc w:val="both"/>
      </w:pPr>
      <w:r>
        <w:rPr>
          <w:sz w:val="20"/>
        </w:rPr>
        <w:t xml:space="preserve">(в ред. </w:t>
      </w:r>
      <w:hyperlink w:history="0" r:id="rId75"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30.03.2023 N 222-п)</w:t>
      </w:r>
    </w:p>
    <w:p>
      <w:pPr>
        <w:pStyle w:val="0"/>
        <w:spacing w:before="200" w:line-rule="auto"/>
        <w:ind w:firstLine="540"/>
        <w:jc w:val="both"/>
      </w:pPr>
      <w:r>
        <w:rPr>
          <w:sz w:val="20"/>
        </w:rPr>
        <w:t xml:space="preserve">Сведения о субъектах МСП, осуществляющих в числе основных видов экономической деятельности виды деятельности, имеющие </w:t>
      </w:r>
      <w:hyperlink w:history="0" r:id="rId76" w:tooltip="&quot;ОК 029-2014 (КДЕС Ред. 2). Общероссийский классификатор видов экономической деятельности&quot; (утв. Приказом Росстандарта от 31.01.2014 N 14-ст) (ред. от 22.12.2022) {КонсультантПлюс}">
        <w:r>
          <w:rPr>
            <w:sz w:val="20"/>
            <w:color w:val="0000ff"/>
          </w:rPr>
          <w:t xml:space="preserve">код 55</w:t>
        </w:r>
      </w:hyperlink>
      <w:r>
        <w:rPr>
          <w:sz w:val="20"/>
        </w:rPr>
        <w:t xml:space="preserve"> ОКВЭД, установленный Общероссийским классификатором видов экономической деятельности, входящий в раздел I "Деятельность гостиниц и предприятий общественного питания", на момент подачи заявки и документов должны быть включены в единый перечень классифицированных гостиниц, горнолыжных трасс, пляжей в соответствии с Федеральным </w:t>
      </w:r>
      <w:hyperlink w:history="0" r:id="rId77" w:tooltip="Федеральный закон от 24.11.1996 N 132-ФЗ (ред. от 28.05.2022) &quot;Об основах туристской деятельности в Российской Федерации&quot; {КонсультантПлюс}">
        <w:r>
          <w:rPr>
            <w:sz w:val="20"/>
            <w:color w:val="0000ff"/>
          </w:rPr>
          <w:t xml:space="preserve">законом</w:t>
        </w:r>
      </w:hyperlink>
      <w:r>
        <w:rPr>
          <w:sz w:val="20"/>
        </w:rPr>
        <w:t xml:space="preserve"> от 24 ноября 1996 г. N 132-ФЗ "Об основах туристской деятельности в Российской Федерации"; сведения о субъектах МСП, осуществляющих в числе основных видов экономической деятельности виды деятельности, имеющие </w:t>
      </w:r>
      <w:hyperlink w:history="0" r:id="rId78" w:tooltip="&quot;ОК 029-2014 (КДЕС Ред. 2). Общероссийский классификатор видов экономической деятельности&quot; (утв. Приказом Росстандарта от 31.01.2014 N 14-ст) (ред. от 22.12.2022) {КонсультантПлюс}">
        <w:r>
          <w:rPr>
            <w:sz w:val="20"/>
            <w:color w:val="0000ff"/>
          </w:rPr>
          <w:t xml:space="preserve">код 79</w:t>
        </w:r>
      </w:hyperlink>
      <w:r>
        <w:rPr>
          <w:sz w:val="20"/>
        </w:rPr>
        <w:t xml:space="preserve"> ОКВЭД, установленный Общероссийским классификатором видов экономической деятельности, входящий в раздел N "Деятельность административная и сопутствующие дополнительные услуги", на момент подачи заявки и документов должны быть включены в единый федеральный реестр туроператоров в соответствии со </w:t>
      </w:r>
      <w:hyperlink w:history="0" r:id="rId79" w:tooltip="Федеральный закон от 24.11.1996 N 132-ФЗ (ред. от 28.05.2022) &quot;Об основах туристской деятельности в Российской Федерации&quot; {КонсультантПлюс}">
        <w:r>
          <w:rPr>
            <w:sz w:val="20"/>
            <w:color w:val="0000ff"/>
          </w:rPr>
          <w:t xml:space="preserve">статьей 4.2</w:t>
        </w:r>
      </w:hyperlink>
      <w:r>
        <w:rPr>
          <w:sz w:val="20"/>
        </w:rPr>
        <w:t xml:space="preserve"> Федерального закона от 24 ноября 1996 г. N 132-ФЗ "Об основах туристской деятельности в Российской Федерации", содержащий сведения о туроператорской деятельности, в том числе в сфере внутреннего туризма;</w:t>
      </w:r>
    </w:p>
    <w:p>
      <w:pPr>
        <w:pStyle w:val="0"/>
        <w:jc w:val="both"/>
      </w:pPr>
      <w:r>
        <w:rPr>
          <w:sz w:val="20"/>
        </w:rPr>
        <w:t xml:space="preserve">(п. 2.1.4 в ред. </w:t>
      </w:r>
      <w:hyperlink w:history="0" r:id="rId80" w:tooltip="Постановление Правительства Пермского края от 30.12.2020 N 1068-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30.12.2020 N 1068-п)</w:t>
      </w:r>
    </w:p>
    <w:bookmarkStart w:id="103" w:name="P103"/>
    <w:bookmarkEnd w:id="103"/>
    <w:p>
      <w:pPr>
        <w:pStyle w:val="0"/>
        <w:spacing w:before="200" w:line-rule="auto"/>
        <w:ind w:firstLine="540"/>
        <w:jc w:val="both"/>
      </w:pPr>
      <w:r>
        <w:rPr>
          <w:sz w:val="20"/>
        </w:rPr>
        <w:t xml:space="preserve">2.1.5. соответствующим на дату, предшествующую дате подачи заявки и документов для участия в конкурсе, следующим требованиям:</w:t>
      </w:r>
    </w:p>
    <w:p>
      <w:pPr>
        <w:pStyle w:val="0"/>
        <w:jc w:val="both"/>
      </w:pPr>
      <w:r>
        <w:rPr>
          <w:sz w:val="20"/>
        </w:rPr>
        <w:t xml:space="preserve">(в ред. </w:t>
      </w:r>
      <w:hyperlink w:history="0" r:id="rId81" w:tooltip="Постановление Правительства Пермского края от 07.04.2022 N 285-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07.04.2022 N 285-п)</w:t>
      </w:r>
    </w:p>
    <w:p>
      <w:pPr>
        <w:pStyle w:val="0"/>
        <w:spacing w:before="200" w:line-rule="auto"/>
        <w:ind w:firstLine="540"/>
        <w:jc w:val="both"/>
      </w:pPr>
      <w:r>
        <w:rPr>
          <w:sz w:val="20"/>
        </w:rPr>
        <w:t xml:space="preserve">2.1.5.1. у субъекта МСП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2.1.5.2. субъект МСП - юридическое лицо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субъект МСП - индивидуальный предприниматель не должен прекратить деятельность в качестве индивидуального предпринимателя;</w:t>
      </w:r>
    </w:p>
    <w:p>
      <w:pPr>
        <w:pStyle w:val="0"/>
        <w:jc w:val="both"/>
      </w:pPr>
      <w:r>
        <w:rPr>
          <w:sz w:val="20"/>
        </w:rPr>
        <w:t xml:space="preserve">(в ред. Постановлений Правительства Пермского края от 24.12.2019 </w:t>
      </w:r>
      <w:hyperlink w:history="0" r:id="rId82" w:tooltip="Постановление Правительства Пермского края от 24.12.2019 N 980-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980-п</w:t>
        </w:r>
      </w:hyperlink>
      <w:r>
        <w:rPr>
          <w:sz w:val="20"/>
        </w:rPr>
        <w:t xml:space="preserve">, от 03.02.2021 </w:t>
      </w:r>
      <w:hyperlink w:history="0" r:id="rId83" w:tooltip="Постановление Правительства Пермского края от 03.02.2021 N 67-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67-п</w:t>
        </w:r>
      </w:hyperlink>
      <w:r>
        <w:rPr>
          <w:sz w:val="20"/>
        </w:rPr>
        <w:t xml:space="preserve">)</w:t>
      </w:r>
    </w:p>
    <w:p>
      <w:pPr>
        <w:pStyle w:val="0"/>
        <w:spacing w:before="200" w:line-rule="auto"/>
        <w:ind w:firstLine="540"/>
        <w:jc w:val="both"/>
      </w:pPr>
      <w:r>
        <w:rPr>
          <w:sz w:val="20"/>
        </w:rPr>
        <w:t xml:space="preserve">2.1.5.3. у субъекта МСП должна отсутствовать просроченная задолженность по возврату в бюджет Пермского края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Пермского края;</w:t>
      </w:r>
    </w:p>
    <w:p>
      <w:pPr>
        <w:pStyle w:val="0"/>
        <w:jc w:val="both"/>
      </w:pPr>
      <w:r>
        <w:rPr>
          <w:sz w:val="20"/>
        </w:rPr>
        <w:t xml:space="preserve">(п. 2.1.5.3 в ред. </w:t>
      </w:r>
      <w:hyperlink w:history="0" r:id="rId84" w:tooltip="Постановление Правительства Пермского края от 30.12.2020 N 1068-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30.12.2020 N 1068-п)</w:t>
      </w:r>
    </w:p>
    <w:p>
      <w:pPr>
        <w:pStyle w:val="0"/>
        <w:spacing w:before="200" w:line-rule="auto"/>
        <w:ind w:firstLine="540"/>
        <w:jc w:val="both"/>
      </w:pPr>
      <w:r>
        <w:rPr>
          <w:sz w:val="20"/>
        </w:rPr>
        <w:t xml:space="preserve">2.1.5.4. не является иностранным юридическим лицом, в том числе местом регистрации которого являются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0"/>
        </w:rPr>
        <w:t xml:space="preserve">(п. 2.1.5.4 в ред. </w:t>
      </w:r>
      <w:hyperlink w:history="0" r:id="rId85"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30.03.2023 N 222-п)</w:t>
      </w:r>
    </w:p>
    <w:p>
      <w:pPr>
        <w:pStyle w:val="0"/>
        <w:spacing w:before="200" w:line-rule="auto"/>
        <w:ind w:firstLine="540"/>
        <w:jc w:val="both"/>
      </w:pPr>
      <w:r>
        <w:rPr>
          <w:sz w:val="20"/>
        </w:rPr>
        <w:t xml:space="preserve">2.1.5.5. субъект МСП не получает средства из бюджета Пермского края на основании иных нормативных правовых актов или муниципальных правовых актов на цели, указанные в </w:t>
      </w:r>
      <w:hyperlink w:history="0" w:anchor="P54" w:tooltip="1.2. Настоящий Порядок предусматривает предоставление субсидии субъектам МСП по направлениям субсидирования:">
        <w:r>
          <w:rPr>
            <w:sz w:val="20"/>
            <w:color w:val="0000ff"/>
          </w:rPr>
          <w:t xml:space="preserve">пункте 1.2</w:t>
        </w:r>
      </w:hyperlink>
      <w:r>
        <w:rPr>
          <w:sz w:val="20"/>
        </w:rPr>
        <w:t xml:space="preserve"> настоящего Порядка;</w:t>
      </w:r>
    </w:p>
    <w:p>
      <w:pPr>
        <w:pStyle w:val="0"/>
        <w:jc w:val="both"/>
      </w:pPr>
      <w:r>
        <w:rPr>
          <w:sz w:val="20"/>
        </w:rPr>
        <w:t xml:space="preserve">(п. 2.1.5.5 введен </w:t>
      </w:r>
      <w:hyperlink w:history="0" r:id="rId86" w:tooltip="Постановление Правительства Пермского края от 24.12.2019 N 980-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Постановлением</w:t>
        </w:r>
      </w:hyperlink>
      <w:r>
        <w:rPr>
          <w:sz w:val="20"/>
        </w:rPr>
        <w:t xml:space="preserve"> Правительства Пермского края от 24.12.2019 N 980-п)</w:t>
      </w:r>
    </w:p>
    <w:p>
      <w:pPr>
        <w:pStyle w:val="0"/>
        <w:spacing w:before="200" w:line-rule="auto"/>
        <w:ind w:firstLine="540"/>
        <w:jc w:val="both"/>
      </w:pPr>
      <w:r>
        <w:rPr>
          <w:sz w:val="20"/>
        </w:rPr>
        <w:t xml:space="preserve">2.1.6. не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pPr>
        <w:pStyle w:val="0"/>
        <w:spacing w:before="200" w:line-rule="auto"/>
        <w:ind w:firstLine="540"/>
        <w:jc w:val="both"/>
      </w:pPr>
      <w:r>
        <w:rPr>
          <w:sz w:val="20"/>
        </w:rPr>
        <w:t xml:space="preserve">2.1.7. не осуществляющим предпринимательскую деятельность в сфере игорного бизнеса;</w:t>
      </w:r>
    </w:p>
    <w:p>
      <w:pPr>
        <w:pStyle w:val="0"/>
        <w:spacing w:before="200" w:line-rule="auto"/>
        <w:ind w:firstLine="540"/>
        <w:jc w:val="both"/>
      </w:pPr>
      <w:r>
        <w:rPr>
          <w:sz w:val="20"/>
        </w:rPr>
        <w:t xml:space="preserve">2.1.8. не являющимся участниками соглашений о разделе продукции;</w:t>
      </w:r>
    </w:p>
    <w:p>
      <w:pPr>
        <w:pStyle w:val="0"/>
        <w:spacing w:before="200" w:line-rule="auto"/>
        <w:ind w:firstLine="540"/>
        <w:jc w:val="both"/>
      </w:pPr>
      <w:r>
        <w:rPr>
          <w:sz w:val="20"/>
        </w:rPr>
        <w:t xml:space="preserve">2.1.9. не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pPr>
        <w:pStyle w:val="0"/>
        <w:spacing w:before="200" w:line-rule="auto"/>
        <w:ind w:firstLine="540"/>
        <w:jc w:val="both"/>
      </w:pPr>
      <w:r>
        <w:rPr>
          <w:sz w:val="20"/>
        </w:rPr>
        <w:t xml:space="preserve">2.1.10. не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при этом основной и дополнительный виды деятельности субъекта МСП также не содержат коды Общероссийского </w:t>
      </w:r>
      <w:hyperlink w:history="0" r:id="rId87" w:tooltip="&quot;ОК 029-2014 (КДЕС Ред. 2). Общероссийский классификатор видов экономической деятельности&quot; (утв. Приказом Росстандарта от 31.01.2014 N 14-ст) (ред. от 22.12.2022) {КонсультантПлюс}">
        <w:r>
          <w:rPr>
            <w:sz w:val="20"/>
            <w:color w:val="0000ff"/>
          </w:rPr>
          <w:t xml:space="preserve">классификатора</w:t>
        </w:r>
      </w:hyperlink>
      <w:r>
        <w:rPr>
          <w:sz w:val="20"/>
        </w:rPr>
        <w:t xml:space="preserve"> видов экономической деятельности, предусматривающие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pPr>
        <w:pStyle w:val="0"/>
        <w:jc w:val="both"/>
      </w:pPr>
      <w:r>
        <w:rPr>
          <w:sz w:val="20"/>
        </w:rPr>
        <w:t xml:space="preserve">(в ред. </w:t>
      </w:r>
      <w:hyperlink w:history="0" r:id="rId88"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30.03.2023 N 222-п)</w:t>
      </w:r>
    </w:p>
    <w:bookmarkStart w:id="120" w:name="P120"/>
    <w:bookmarkEnd w:id="120"/>
    <w:p>
      <w:pPr>
        <w:pStyle w:val="0"/>
        <w:spacing w:before="200" w:line-rule="auto"/>
        <w:ind w:firstLine="540"/>
        <w:jc w:val="both"/>
      </w:pPr>
      <w:r>
        <w:rPr>
          <w:sz w:val="20"/>
        </w:rPr>
        <w:t xml:space="preserve">2.1.11. не признавался совершившим нарушение порядка и условий оказания поддержки в течение года, за исключением случая более раннего устранения субъектом МСП такого нарушения при условии соблюдения им срока устранения такого нарушения, установленного Агентством,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не признавался совершившим такое нарушение в течение трех лет.</w:t>
      </w:r>
    </w:p>
    <w:p>
      <w:pPr>
        <w:pStyle w:val="0"/>
        <w:jc w:val="both"/>
      </w:pPr>
      <w:r>
        <w:rPr>
          <w:sz w:val="20"/>
        </w:rPr>
        <w:t xml:space="preserve">(п. 2.1.11 в ред. </w:t>
      </w:r>
      <w:hyperlink w:history="0" r:id="rId89"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30.03.2023 N 222-п)</w:t>
      </w:r>
    </w:p>
    <w:bookmarkStart w:id="122" w:name="P122"/>
    <w:bookmarkEnd w:id="122"/>
    <w:p>
      <w:pPr>
        <w:pStyle w:val="0"/>
        <w:spacing w:before="200" w:line-rule="auto"/>
        <w:ind w:firstLine="540"/>
        <w:jc w:val="both"/>
      </w:pPr>
      <w:r>
        <w:rPr>
          <w:sz w:val="20"/>
        </w:rPr>
        <w:t xml:space="preserve">2.2. В предоставлении субсидий должно быть отказано в случае, если ранее в отношении субъекта МСП было принято решение об оказании аналогичной государственной поддержки (государственной поддержки, условия оказания которой совпадают, включая форму, вид поддержки и цели ее оказания, с формой, видами и целями предоставления субсидий, установленными настоящим Порядком) и сроки ее оказания не истекли.</w:t>
      </w:r>
    </w:p>
    <w:p>
      <w:pPr>
        <w:pStyle w:val="0"/>
        <w:jc w:val="both"/>
      </w:pPr>
      <w:r>
        <w:rPr>
          <w:sz w:val="20"/>
        </w:rPr>
      </w:r>
    </w:p>
    <w:p>
      <w:pPr>
        <w:pStyle w:val="2"/>
        <w:outlineLvl w:val="1"/>
        <w:jc w:val="center"/>
      </w:pPr>
      <w:r>
        <w:rPr>
          <w:sz w:val="20"/>
        </w:rPr>
        <w:t xml:space="preserve">III. Условия предоставления субсидии на возмещение части</w:t>
      </w:r>
    </w:p>
    <w:p>
      <w:pPr>
        <w:pStyle w:val="2"/>
        <w:jc w:val="center"/>
      </w:pPr>
      <w:r>
        <w:rPr>
          <w:sz w:val="20"/>
        </w:rPr>
        <w:t xml:space="preserve">затрат, связанных с приобретением оборудования</w:t>
      </w:r>
    </w:p>
    <w:p>
      <w:pPr>
        <w:pStyle w:val="0"/>
        <w:jc w:val="both"/>
      </w:pPr>
      <w:r>
        <w:rPr>
          <w:sz w:val="20"/>
        </w:rPr>
      </w:r>
    </w:p>
    <w:bookmarkStart w:id="127" w:name="P127"/>
    <w:bookmarkEnd w:id="127"/>
    <w:p>
      <w:pPr>
        <w:pStyle w:val="0"/>
        <w:ind w:firstLine="540"/>
        <w:jc w:val="both"/>
      </w:pPr>
      <w:r>
        <w:rPr>
          <w:sz w:val="20"/>
        </w:rPr>
        <w:t xml:space="preserve">3.1. Субсидии на возмещение части затрат, связанных с приобретением оборудования, предоставляются по договорам приобретения нового и полнокомплектного оборудования и его монтажа, заключенным не ранее чем 1 января за три года, предшествующих году проведения конкурсного отбора.</w:t>
      </w:r>
    </w:p>
    <w:p>
      <w:pPr>
        <w:pStyle w:val="0"/>
        <w:jc w:val="both"/>
      </w:pPr>
      <w:r>
        <w:rPr>
          <w:sz w:val="20"/>
        </w:rPr>
        <w:t xml:space="preserve">(в ред. Постановлений Правительства Пермского края от 20.12.2018 </w:t>
      </w:r>
      <w:hyperlink w:history="0" r:id="rId90" w:tooltip="Постановление Правительства Пермского края от 20.12.2018 N 84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843-п</w:t>
        </w:r>
      </w:hyperlink>
      <w:r>
        <w:rPr>
          <w:sz w:val="20"/>
        </w:rPr>
        <w:t xml:space="preserve">, от 24.12.2019 </w:t>
      </w:r>
      <w:hyperlink w:history="0" r:id="rId91" w:tooltip="Постановление Правительства Пермского края от 24.12.2019 N 980-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980-п</w:t>
        </w:r>
      </w:hyperlink>
      <w:r>
        <w:rPr>
          <w:sz w:val="20"/>
        </w:rPr>
        <w:t xml:space="preserve">, от 30.12.2020 </w:t>
      </w:r>
      <w:hyperlink w:history="0" r:id="rId92" w:tooltip="Постановление Правительства Пермского края от 30.12.2020 N 1068-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1068-п</w:t>
        </w:r>
      </w:hyperlink>
      <w:r>
        <w:rPr>
          <w:sz w:val="20"/>
        </w:rPr>
        <w:t xml:space="preserve">, от 20.10.2021 </w:t>
      </w:r>
      <w:hyperlink w:history="0" r:id="rId93" w:tooltip="Постановление Правительства Пермского края от 20.10.2021 N 79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793-п</w:t>
        </w:r>
      </w:hyperlink>
      <w:r>
        <w:rPr>
          <w:sz w:val="20"/>
        </w:rPr>
        <w:t xml:space="preserve">)</w:t>
      </w:r>
    </w:p>
    <w:p>
      <w:pPr>
        <w:pStyle w:val="0"/>
        <w:spacing w:before="200" w:line-rule="auto"/>
        <w:ind w:firstLine="540"/>
        <w:jc w:val="both"/>
      </w:pPr>
      <w:r>
        <w:rPr>
          <w:sz w:val="20"/>
        </w:rPr>
        <w:t xml:space="preserve">Под новым, полнокомплектным оборудованием понимается оборудование, не эксплуатировавшееся на дату его приобретения, не требующее дополнительного дооборудования частями, деталями и другими механизмами в целях доведения до состояния, пригодного для использования.</w:t>
      </w:r>
    </w:p>
    <w:p>
      <w:pPr>
        <w:pStyle w:val="0"/>
        <w:spacing w:before="200" w:line-rule="auto"/>
        <w:ind w:firstLine="540"/>
        <w:jc w:val="both"/>
      </w:pPr>
      <w:r>
        <w:rPr>
          <w:sz w:val="20"/>
        </w:rPr>
        <w:t xml:space="preserve">3.2. Условиями предоставления субсидии на возмещение части затрат, связанных с приобретением оборудования, являются:</w:t>
      </w:r>
    </w:p>
    <w:p>
      <w:pPr>
        <w:pStyle w:val="0"/>
        <w:spacing w:before="200" w:line-rule="auto"/>
        <w:ind w:firstLine="540"/>
        <w:jc w:val="both"/>
      </w:pPr>
      <w:r>
        <w:rPr>
          <w:sz w:val="20"/>
        </w:rPr>
        <w:t xml:space="preserve">3.2.1. соответствие субъекта МСП категориям и требованиям, установленным </w:t>
      </w:r>
      <w:hyperlink w:history="0" w:anchor="P95" w:tooltip="2.1.1. соответствующим категориям субъектов малого и среднего предпринимательства, установленным Федеральным законом от 24 июля 2007 г. N 209-ФЗ &quot;О развитии малого и среднего предпринимательства в Российской Федерации&quot;;">
        <w:r>
          <w:rPr>
            <w:sz w:val="20"/>
            <w:color w:val="0000ff"/>
          </w:rPr>
          <w:t xml:space="preserve">пунктами 2.1.1</w:t>
        </w:r>
      </w:hyperlink>
      <w:r>
        <w:rPr>
          <w:sz w:val="20"/>
        </w:rPr>
        <w:t xml:space="preserve">-</w:t>
      </w:r>
      <w:hyperlink w:history="0" w:anchor="P120" w:tooltip="2.1.11. не признавался совершившим нарушение порядка и условий оказания поддержки в течение года, за исключением случая более раннего устранения субъектом МСП такого нарушения при условии соблюдения им срока устранения такого нарушения, установленного Агентством,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не признавался совершившим такое нарушение в течение трех лет.">
        <w:r>
          <w:rPr>
            <w:sz w:val="20"/>
            <w:color w:val="0000ff"/>
          </w:rPr>
          <w:t xml:space="preserve">2.1.11</w:t>
        </w:r>
      </w:hyperlink>
      <w:r>
        <w:rPr>
          <w:sz w:val="20"/>
        </w:rPr>
        <w:t xml:space="preserve">, </w:t>
      </w:r>
      <w:hyperlink w:history="0" w:anchor="P122" w:tooltip="2.2. В предоставлении субсидий должно быть отказано в случае, если ранее в отношении субъекта МСП было принято решение об оказании аналогичной государственной поддержки (государственной поддержки, условия оказания которой совпадают, включая форму, вид поддержки и цели ее оказания, с формой, видами и целями предоставления субсидий, установленными настоящим Порядком) и сроки ее оказания не истекли.">
        <w:r>
          <w:rPr>
            <w:sz w:val="20"/>
            <w:color w:val="0000ff"/>
          </w:rPr>
          <w:t xml:space="preserve">2.2</w:t>
        </w:r>
      </w:hyperlink>
      <w:r>
        <w:rPr>
          <w:sz w:val="20"/>
        </w:rPr>
        <w:t xml:space="preserve"> настоящего Порядка;</w:t>
      </w:r>
    </w:p>
    <w:p>
      <w:pPr>
        <w:pStyle w:val="0"/>
        <w:jc w:val="both"/>
      </w:pPr>
      <w:r>
        <w:rPr>
          <w:sz w:val="20"/>
        </w:rPr>
        <w:t xml:space="preserve">(п. 3.2.1 в ред. </w:t>
      </w:r>
      <w:hyperlink w:history="0" r:id="rId94"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30.03.2023 N 222-п)</w:t>
      </w:r>
    </w:p>
    <w:p>
      <w:pPr>
        <w:pStyle w:val="0"/>
        <w:spacing w:before="200" w:line-rule="auto"/>
        <w:ind w:firstLine="540"/>
        <w:jc w:val="both"/>
      </w:pPr>
      <w:r>
        <w:rPr>
          <w:sz w:val="20"/>
        </w:rPr>
        <w:t xml:space="preserve">3.2.2. соответствие договоров приобретения оборудования требованиям, установленным </w:t>
      </w:r>
      <w:hyperlink w:history="0" w:anchor="P127" w:tooltip="3.1. Субсидии на возмещение части затрат, связанных с приобретением оборудования, предоставляются по договорам приобретения нового и полнокомплектного оборудования и его монтажа, заключенным не ранее чем 1 января за три года, предшествующих году проведения конкурсного отбора.">
        <w:r>
          <w:rPr>
            <w:sz w:val="20"/>
            <w:color w:val="0000ff"/>
          </w:rPr>
          <w:t xml:space="preserve">пунктом 3.1</w:t>
        </w:r>
      </w:hyperlink>
      <w:r>
        <w:rPr>
          <w:sz w:val="20"/>
        </w:rPr>
        <w:t xml:space="preserve"> настоящего Порядка;</w:t>
      </w:r>
    </w:p>
    <w:p>
      <w:pPr>
        <w:pStyle w:val="0"/>
        <w:spacing w:before="200" w:line-rule="auto"/>
        <w:ind w:firstLine="540"/>
        <w:jc w:val="both"/>
      </w:pPr>
      <w:r>
        <w:rPr>
          <w:sz w:val="20"/>
        </w:rPr>
        <w:t xml:space="preserve">3.2.3. представление документов в соответствии с перечнем, установленным </w:t>
      </w:r>
      <w:hyperlink w:history="0" w:anchor="P149" w:tooltip="3.4.2. заявку на получение субсидии по форме согласно приложению 1 к настоящему Порядку в 2 экземплярах;">
        <w:r>
          <w:rPr>
            <w:sz w:val="20"/>
            <w:color w:val="0000ff"/>
          </w:rPr>
          <w:t xml:space="preserve">пунктами 3.4.2</w:t>
        </w:r>
      </w:hyperlink>
      <w:r>
        <w:rPr>
          <w:sz w:val="20"/>
        </w:rPr>
        <w:t xml:space="preserve">, </w:t>
      </w:r>
      <w:hyperlink w:history="0" w:anchor="P153" w:tooltip="3.4.4. расчет размера субсидии на возмещение части затрат, связанных с оплатой субъектами МСП приобретения оборудования, по форме согласно приложению 2 к настоящему Порядку в соответствии с требованиями, установленными пунктом 3.3 и разделом IV(1) настоящего Порядка;">
        <w:r>
          <w:rPr>
            <w:sz w:val="20"/>
            <w:color w:val="0000ff"/>
          </w:rPr>
          <w:t xml:space="preserve">3.4.4</w:t>
        </w:r>
      </w:hyperlink>
      <w:r>
        <w:rPr>
          <w:sz w:val="20"/>
        </w:rPr>
        <w:t xml:space="preserve">-</w:t>
      </w:r>
      <w:hyperlink w:history="0" w:anchor="P164" w:tooltip="3.4.6. паспорт бизнес-проекта (инвестиционного проекта) субъекта малого и среднего предпринимательства по форме согласно приложению 3 к настоящему Порядку;">
        <w:r>
          <w:rPr>
            <w:sz w:val="20"/>
            <w:color w:val="0000ff"/>
          </w:rPr>
          <w:t xml:space="preserve">3.4.6</w:t>
        </w:r>
      </w:hyperlink>
      <w:r>
        <w:rPr>
          <w:sz w:val="20"/>
        </w:rPr>
        <w:t xml:space="preserve"> настоящего Порядка, в сроки, указанные в объявлении о начале конкурса;</w:t>
      </w:r>
    </w:p>
    <w:p>
      <w:pPr>
        <w:pStyle w:val="0"/>
        <w:jc w:val="both"/>
      </w:pPr>
      <w:r>
        <w:rPr>
          <w:sz w:val="20"/>
        </w:rPr>
        <w:t xml:space="preserve">(в ред. </w:t>
      </w:r>
      <w:hyperlink w:history="0" r:id="rId95" w:tooltip="Постановление Правительства Пермского края от 16.09.2020 N 688-п &quot;О внесении изменений в отдельные постановления Правительства Пермского края по вопросам развития малого и среднего предпринимательства&quot; {КонсультантПлюс}">
        <w:r>
          <w:rPr>
            <w:sz w:val="20"/>
            <w:color w:val="0000ff"/>
          </w:rPr>
          <w:t xml:space="preserve">Постановления</w:t>
        </w:r>
      </w:hyperlink>
      <w:r>
        <w:rPr>
          <w:sz w:val="20"/>
        </w:rPr>
        <w:t xml:space="preserve"> Правительства Пермского края от 16.09.2020 N 688-п)</w:t>
      </w:r>
    </w:p>
    <w:p>
      <w:pPr>
        <w:pStyle w:val="0"/>
        <w:spacing w:before="200" w:line-rule="auto"/>
        <w:ind w:firstLine="540"/>
        <w:jc w:val="both"/>
      </w:pPr>
      <w:r>
        <w:rPr>
          <w:sz w:val="20"/>
        </w:rPr>
        <w:t xml:space="preserve">3.2.4. достижение результатов предоставления субсидии, значение которых установлено соглашением о предоставлении субсидии, заключаемым в соответствии с </w:t>
      </w:r>
      <w:hyperlink w:history="0" w:anchor="P399" w:tooltip="5.21. Субсидия предоставляется на основании соглашения о предоставлении субсидии (далее - Соглашение), заключенного между победителем конкурса (далее - получатель субсидии) и Агентством в соответствии с типовой формой, утвержденной Министерством финансов Пермского края.">
        <w:r>
          <w:rPr>
            <w:sz w:val="20"/>
            <w:color w:val="0000ff"/>
          </w:rPr>
          <w:t xml:space="preserve">пунктом 5.21</w:t>
        </w:r>
      </w:hyperlink>
      <w:r>
        <w:rPr>
          <w:sz w:val="20"/>
        </w:rPr>
        <w:t xml:space="preserve"> настоящего Порядка;</w:t>
      </w:r>
    </w:p>
    <w:p>
      <w:pPr>
        <w:pStyle w:val="0"/>
        <w:jc w:val="both"/>
      </w:pPr>
      <w:r>
        <w:rPr>
          <w:sz w:val="20"/>
        </w:rPr>
        <w:t xml:space="preserve">(п. 3.2.4 в ред. </w:t>
      </w:r>
      <w:hyperlink w:history="0" r:id="rId96" w:tooltip="Постановление Правительства Пермского края от 24.12.2019 N 980-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24.12.2019 N 980-п)</w:t>
      </w:r>
    </w:p>
    <w:p>
      <w:pPr>
        <w:pStyle w:val="0"/>
        <w:spacing w:before="200" w:line-rule="auto"/>
        <w:ind w:firstLine="540"/>
        <w:jc w:val="both"/>
      </w:pPr>
      <w:r>
        <w:rPr>
          <w:sz w:val="20"/>
        </w:rPr>
        <w:t xml:space="preserve">3.2.5. осуществление предпринимательской деятельности в течение не менее 3 лет с момента получения субсидии;</w:t>
      </w:r>
    </w:p>
    <w:p>
      <w:pPr>
        <w:pStyle w:val="0"/>
        <w:spacing w:before="200" w:line-rule="auto"/>
        <w:ind w:firstLine="540"/>
        <w:jc w:val="both"/>
      </w:pPr>
      <w:r>
        <w:rPr>
          <w:sz w:val="20"/>
        </w:rPr>
        <w:t xml:space="preserve">3.2.6. неотчуждение приобретенного оборудования в течение 3 лет с момента получения субсидии;</w:t>
      </w:r>
    </w:p>
    <w:p>
      <w:pPr>
        <w:pStyle w:val="0"/>
        <w:spacing w:before="200" w:line-rule="auto"/>
        <w:ind w:firstLine="540"/>
        <w:jc w:val="both"/>
      </w:pPr>
      <w:r>
        <w:rPr>
          <w:sz w:val="20"/>
        </w:rPr>
        <w:t xml:space="preserve">3.2.7. согласие субъекта МСП на проведение выездного мероприятия должностного лица Агентства для обследования оборудования и составления акта обследования наличия оборудования и его монтажа;</w:t>
      </w:r>
    </w:p>
    <w:p>
      <w:pPr>
        <w:pStyle w:val="0"/>
        <w:jc w:val="both"/>
      </w:pPr>
      <w:r>
        <w:rPr>
          <w:sz w:val="20"/>
        </w:rPr>
        <w:t xml:space="preserve">(п. 3.2.7 введен </w:t>
      </w:r>
      <w:hyperlink w:history="0" r:id="rId97" w:tooltip="Постановление Правительства Пермского края от 23.05.2018 N 276-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Постановлением</w:t>
        </w:r>
      </w:hyperlink>
      <w:r>
        <w:rPr>
          <w:sz w:val="20"/>
        </w:rPr>
        <w:t xml:space="preserve"> Правительства Пермского края от 23.05.2018 N 276-п; в ред. </w:t>
      </w:r>
      <w:hyperlink w:history="0" r:id="rId98" w:tooltip="Постановление Правительства Пермского края от 16.09.2020 N 688-п &quot;О внесении изменений в отдельные постановления Правительства Пермского края по вопросам развития малого и среднего предпринимательства&quot; {КонсультантПлюс}">
        <w:r>
          <w:rPr>
            <w:sz w:val="20"/>
            <w:color w:val="0000ff"/>
          </w:rPr>
          <w:t xml:space="preserve">Постановления</w:t>
        </w:r>
      </w:hyperlink>
      <w:r>
        <w:rPr>
          <w:sz w:val="20"/>
        </w:rPr>
        <w:t xml:space="preserve"> Правительства Пермского края от 16.09.2020 N 688-п)</w:t>
      </w:r>
    </w:p>
    <w:bookmarkStart w:id="142" w:name="P142"/>
    <w:bookmarkEnd w:id="142"/>
    <w:p>
      <w:pPr>
        <w:pStyle w:val="0"/>
        <w:spacing w:before="200" w:line-rule="auto"/>
        <w:ind w:firstLine="540"/>
        <w:jc w:val="both"/>
      </w:pPr>
      <w:r>
        <w:rPr>
          <w:sz w:val="20"/>
        </w:rPr>
        <w:t xml:space="preserve">3.2.8. затраты, предъявленные к возмещению, понесены непосредственно субъектом МСП - участником конкурсного отбора.</w:t>
      </w:r>
    </w:p>
    <w:p>
      <w:pPr>
        <w:pStyle w:val="0"/>
        <w:jc w:val="both"/>
      </w:pPr>
      <w:r>
        <w:rPr>
          <w:sz w:val="20"/>
        </w:rPr>
        <w:t xml:space="preserve">(п. 3.2.8 введен </w:t>
      </w:r>
      <w:hyperlink w:history="0" r:id="rId99"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Постановлением</w:t>
        </w:r>
      </w:hyperlink>
      <w:r>
        <w:rPr>
          <w:sz w:val="20"/>
        </w:rPr>
        <w:t xml:space="preserve"> Правительства Пермского края от 30.03.2023 N 222-п)</w:t>
      </w:r>
    </w:p>
    <w:bookmarkStart w:id="144" w:name="P144"/>
    <w:bookmarkEnd w:id="144"/>
    <w:p>
      <w:pPr>
        <w:pStyle w:val="0"/>
        <w:spacing w:before="200" w:line-rule="auto"/>
        <w:ind w:firstLine="540"/>
        <w:jc w:val="both"/>
      </w:pPr>
      <w:r>
        <w:rPr>
          <w:sz w:val="20"/>
        </w:rPr>
        <w:t xml:space="preserve">3.3. Субсидии на возмещение части затрат, связанных с приобретением оборудования, предоставляются единовременно в размере, указанном в паспорте бизнес-проекта (инвестиционного проекта) субъекта МСП, представляемого субъектом МСП, но не более 50% произведенных затрат, не более 5 млн рублей и не более чем один раз в три года.</w:t>
      </w:r>
    </w:p>
    <w:p>
      <w:pPr>
        <w:pStyle w:val="0"/>
        <w:jc w:val="both"/>
      </w:pPr>
      <w:r>
        <w:rPr>
          <w:sz w:val="20"/>
        </w:rPr>
        <w:t xml:space="preserve">(п. 3.3 в ред. </w:t>
      </w:r>
      <w:hyperlink w:history="0" r:id="rId100"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30.03.2023 N 222-п)</w:t>
      </w:r>
    </w:p>
    <w:bookmarkStart w:id="146" w:name="P146"/>
    <w:bookmarkEnd w:id="146"/>
    <w:p>
      <w:pPr>
        <w:pStyle w:val="0"/>
        <w:spacing w:before="200" w:line-rule="auto"/>
        <w:ind w:firstLine="540"/>
        <w:jc w:val="both"/>
      </w:pPr>
      <w:r>
        <w:rPr>
          <w:sz w:val="20"/>
        </w:rPr>
        <w:t xml:space="preserve">3.4. Для участия в конкурсе субъект МСП представляет в Агентство следующие документы:</w:t>
      </w:r>
    </w:p>
    <w:p>
      <w:pPr>
        <w:pStyle w:val="0"/>
        <w:jc w:val="both"/>
      </w:pPr>
      <w:r>
        <w:rPr>
          <w:sz w:val="20"/>
        </w:rPr>
        <w:t xml:space="preserve">(в ред. Постановлений Правительства Пермского края от 20.12.2018 </w:t>
      </w:r>
      <w:hyperlink w:history="0" r:id="rId101" w:tooltip="Постановление Правительства Пермского края от 20.12.2018 N 84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843-п</w:t>
        </w:r>
      </w:hyperlink>
      <w:r>
        <w:rPr>
          <w:sz w:val="20"/>
        </w:rPr>
        <w:t xml:space="preserve">, от 16.09.2020 </w:t>
      </w:r>
      <w:hyperlink w:history="0" r:id="rId102" w:tooltip="Постановление Правительства Пермского края от 16.09.2020 N 688-п &quot;О внесении изменений в отдельные постановления Правительства Пермского края по вопросам развития малого и среднего предпринимательства&quot; {КонсультантПлюс}">
        <w:r>
          <w:rPr>
            <w:sz w:val="20"/>
            <w:color w:val="0000ff"/>
          </w:rPr>
          <w:t xml:space="preserve">N 688-п</w:t>
        </w:r>
      </w:hyperlink>
      <w:r>
        <w:rPr>
          <w:sz w:val="20"/>
        </w:rPr>
        <w:t xml:space="preserve">)</w:t>
      </w:r>
    </w:p>
    <w:p>
      <w:pPr>
        <w:pStyle w:val="0"/>
        <w:spacing w:before="200" w:line-rule="auto"/>
        <w:ind w:firstLine="540"/>
        <w:jc w:val="both"/>
      </w:pPr>
      <w:r>
        <w:rPr>
          <w:sz w:val="20"/>
        </w:rPr>
        <w:t xml:space="preserve">3.4.1. утратил силу. - </w:t>
      </w:r>
      <w:hyperlink w:history="0" r:id="rId103" w:tooltip="Постановление Правительства Пермского края от 16.09.2020 N 688-п &quot;О внесении изменений в отдельные постановления Правительства Пермского края по вопросам развития малого и среднего предпринимательства&quot; {КонсультантПлюс}">
        <w:r>
          <w:rPr>
            <w:sz w:val="20"/>
            <w:color w:val="0000ff"/>
          </w:rPr>
          <w:t xml:space="preserve">Постановление</w:t>
        </w:r>
      </w:hyperlink>
      <w:r>
        <w:rPr>
          <w:sz w:val="20"/>
        </w:rPr>
        <w:t xml:space="preserve"> Правительства Пермского края от 16.09.2020 N 688-п;</w:t>
      </w:r>
    </w:p>
    <w:bookmarkStart w:id="149" w:name="P149"/>
    <w:bookmarkEnd w:id="149"/>
    <w:p>
      <w:pPr>
        <w:pStyle w:val="0"/>
        <w:spacing w:before="200" w:line-rule="auto"/>
        <w:ind w:firstLine="540"/>
        <w:jc w:val="both"/>
      </w:pPr>
      <w:r>
        <w:rPr>
          <w:sz w:val="20"/>
        </w:rPr>
        <w:t xml:space="preserve">3.4.2. </w:t>
      </w:r>
      <w:hyperlink w:history="0" w:anchor="P532" w:tooltip="                                  ЗАЯВКА">
        <w:r>
          <w:rPr>
            <w:sz w:val="20"/>
            <w:color w:val="0000ff"/>
          </w:rPr>
          <w:t xml:space="preserve">заявку</w:t>
        </w:r>
      </w:hyperlink>
      <w:r>
        <w:rPr>
          <w:sz w:val="20"/>
        </w:rPr>
        <w:t xml:space="preserve"> на получение субсидии по форме согласно приложению 1 к настоящему Порядку в 2 экземплярах;</w:t>
      </w:r>
    </w:p>
    <w:p>
      <w:pPr>
        <w:pStyle w:val="0"/>
        <w:jc w:val="both"/>
      </w:pPr>
      <w:r>
        <w:rPr>
          <w:sz w:val="20"/>
        </w:rPr>
        <w:t xml:space="preserve">(в ред. </w:t>
      </w:r>
      <w:hyperlink w:history="0" r:id="rId104" w:tooltip="Постановление Правительства Пермского края от 16.09.2020 N 688-п &quot;О внесении изменений в отдельные постановления Правительства Пермского края по вопросам развития малого и среднего предпринимательства&quot; {КонсультантПлюс}">
        <w:r>
          <w:rPr>
            <w:sz w:val="20"/>
            <w:color w:val="0000ff"/>
          </w:rPr>
          <w:t xml:space="preserve">Постановления</w:t>
        </w:r>
      </w:hyperlink>
      <w:r>
        <w:rPr>
          <w:sz w:val="20"/>
        </w:rPr>
        <w:t xml:space="preserve"> Правительства Пермского края от 16.09.2020 N 688-п)</w:t>
      </w:r>
    </w:p>
    <w:p>
      <w:pPr>
        <w:pStyle w:val="0"/>
        <w:spacing w:before="200" w:line-rule="auto"/>
        <w:ind w:firstLine="540"/>
        <w:jc w:val="both"/>
      </w:pPr>
      <w:r>
        <w:rPr>
          <w:sz w:val="20"/>
        </w:rPr>
        <w:t xml:space="preserve">3.4.3. справку по установленной форме, подтверждающую отсутствие у субъекта МСП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любую дату в течение периода, равного 30 календарным дням, предшествующего дате подачи документов для участия в конкурсном отборе, или на дату формирования соответствующих сведений в случае самостоятельного запроса Агентства в порядке межведомственного информационного взаимодействия (при непредоставлении справки субъектом МСП);</w:t>
      </w:r>
    </w:p>
    <w:p>
      <w:pPr>
        <w:pStyle w:val="0"/>
        <w:jc w:val="both"/>
      </w:pPr>
      <w:r>
        <w:rPr>
          <w:sz w:val="20"/>
        </w:rPr>
        <w:t xml:space="preserve">(п. 3.4.3 в ред. </w:t>
      </w:r>
      <w:hyperlink w:history="0" r:id="rId105"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30.03.2023 N 222-п)</w:t>
      </w:r>
    </w:p>
    <w:bookmarkStart w:id="153" w:name="P153"/>
    <w:bookmarkEnd w:id="153"/>
    <w:p>
      <w:pPr>
        <w:pStyle w:val="0"/>
        <w:spacing w:before="200" w:line-rule="auto"/>
        <w:ind w:firstLine="540"/>
        <w:jc w:val="both"/>
      </w:pPr>
      <w:r>
        <w:rPr>
          <w:sz w:val="20"/>
        </w:rPr>
        <w:t xml:space="preserve">3.4.4. </w:t>
      </w:r>
      <w:hyperlink w:history="0" w:anchor="P616" w:tooltip="РАСЧЕТ">
        <w:r>
          <w:rPr>
            <w:sz w:val="20"/>
            <w:color w:val="0000ff"/>
          </w:rPr>
          <w:t xml:space="preserve">расчет</w:t>
        </w:r>
      </w:hyperlink>
      <w:r>
        <w:rPr>
          <w:sz w:val="20"/>
        </w:rPr>
        <w:t xml:space="preserve"> размера субсидии на возмещение части затрат, связанных с оплатой субъектами МСП приобретения оборудования, по форме согласно приложению 2 к настоящему Порядку в соответствии с требованиями, установленными </w:t>
      </w:r>
      <w:hyperlink w:history="0" w:anchor="P144" w:tooltip="3.3. Субсидии на возмещение части затрат, связанных с приобретением оборудования, предоставляются единовременно в размере, указанном в паспорте бизнес-проекта (инвестиционного проекта) субъекта МСП, представляемого субъектом МСП, но не более 50% произведенных затрат, не более 5 млн рублей и не более чем один раз в три года.">
        <w:r>
          <w:rPr>
            <w:sz w:val="20"/>
            <w:color w:val="0000ff"/>
          </w:rPr>
          <w:t xml:space="preserve">пунктом 3.3</w:t>
        </w:r>
      </w:hyperlink>
      <w:r>
        <w:rPr>
          <w:sz w:val="20"/>
        </w:rPr>
        <w:t xml:space="preserve"> и </w:t>
      </w:r>
      <w:hyperlink w:history="0" w:anchor="P226" w:tooltip="IV(1). Особенности предоставления субсидий по двум">
        <w:r>
          <w:rPr>
            <w:sz w:val="20"/>
            <w:color w:val="0000ff"/>
          </w:rPr>
          <w:t xml:space="preserve">разделом IV(1)</w:t>
        </w:r>
      </w:hyperlink>
      <w:r>
        <w:rPr>
          <w:sz w:val="20"/>
        </w:rPr>
        <w:t xml:space="preserve"> настоящего Порядка;</w:t>
      </w:r>
    </w:p>
    <w:p>
      <w:pPr>
        <w:pStyle w:val="0"/>
        <w:jc w:val="both"/>
      </w:pPr>
      <w:r>
        <w:rPr>
          <w:sz w:val="20"/>
        </w:rPr>
        <w:t xml:space="preserve">(в ред. </w:t>
      </w:r>
      <w:hyperlink w:history="0" r:id="rId106" w:tooltip="Постановление Правительства Пермского края от 20.10.2021 N 79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20.10.2021 N 793-п)</w:t>
      </w:r>
    </w:p>
    <w:p>
      <w:pPr>
        <w:pStyle w:val="0"/>
        <w:spacing w:before="200" w:line-rule="auto"/>
        <w:ind w:firstLine="540"/>
        <w:jc w:val="both"/>
      </w:pPr>
      <w:r>
        <w:rPr>
          <w:sz w:val="20"/>
        </w:rPr>
        <w:t xml:space="preserve">3.4.5. заверенные субъектом МСП копии:</w:t>
      </w:r>
    </w:p>
    <w:p>
      <w:pPr>
        <w:pStyle w:val="0"/>
        <w:spacing w:before="200" w:line-rule="auto"/>
        <w:ind w:firstLine="540"/>
        <w:jc w:val="both"/>
      </w:pPr>
      <w:r>
        <w:rPr>
          <w:sz w:val="20"/>
        </w:rPr>
        <w:t xml:space="preserve">3.4.5.1. договора(-ов) купли-продажи оборудования и (или) договора(-ов) поставки оборудования, его монтажа, составленных на русском языке. В случае составления договора(-ов) и прилагаемых к нему документов на иностранном языке прилагается заверенный в установленном порядке перевод на русский язык;</w:t>
      </w:r>
    </w:p>
    <w:p>
      <w:pPr>
        <w:pStyle w:val="0"/>
        <w:jc w:val="both"/>
      </w:pPr>
      <w:r>
        <w:rPr>
          <w:sz w:val="20"/>
        </w:rPr>
        <w:t xml:space="preserve">(п. 3.4.5.1 в ред. </w:t>
      </w:r>
      <w:hyperlink w:history="0" r:id="rId107" w:tooltip="Постановление Правительства Пермского края от 20.10.2021 N 79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20.10.2021 N 793-п)</w:t>
      </w:r>
    </w:p>
    <w:p>
      <w:pPr>
        <w:pStyle w:val="0"/>
        <w:spacing w:before="200" w:line-rule="auto"/>
        <w:ind w:firstLine="540"/>
        <w:jc w:val="both"/>
      </w:pPr>
      <w:r>
        <w:rPr>
          <w:sz w:val="20"/>
        </w:rPr>
        <w:t xml:space="preserve">3.4.5.2. документов, подтверждающих прием-передачу оборудования;</w:t>
      </w:r>
    </w:p>
    <w:p>
      <w:pPr>
        <w:pStyle w:val="0"/>
        <w:jc w:val="both"/>
      </w:pPr>
      <w:r>
        <w:rPr>
          <w:sz w:val="20"/>
        </w:rPr>
        <w:t xml:space="preserve">(п. 3.4.5.2 в ред. </w:t>
      </w:r>
      <w:hyperlink w:history="0" r:id="rId108" w:tooltip="Постановление Правительства Пермского края от 20.12.2018 N 84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20.12.2018 N 843-п)</w:t>
      </w:r>
    </w:p>
    <w:p>
      <w:pPr>
        <w:pStyle w:val="0"/>
        <w:spacing w:before="200" w:line-rule="auto"/>
        <w:ind w:firstLine="540"/>
        <w:jc w:val="both"/>
      </w:pPr>
      <w:r>
        <w:rPr>
          <w:sz w:val="20"/>
        </w:rPr>
        <w:t xml:space="preserve">3.4.5.3. платежных поручений (платежных требований, платежных ордеров), подтверждающих оплату по безналичному расчету субъектами МСП приобретения оборудования, включая затраты на его монтаж, либо копии квитанций к приходно-кассовым ордерам с приложением кассовых чеков контрольно-кассовой техники, содержащих наименование продавца, дату продажи, название приобретенных товаров или услуг, их цену и количество, фамилию, инициалы и подпись продавца, заверенные продавцом оборудования, - в случае оплаты за наличный расчет;</w:t>
      </w:r>
    </w:p>
    <w:p>
      <w:pPr>
        <w:pStyle w:val="0"/>
        <w:jc w:val="both"/>
      </w:pPr>
      <w:r>
        <w:rPr>
          <w:sz w:val="20"/>
        </w:rPr>
        <w:t xml:space="preserve">(в ред. </w:t>
      </w:r>
      <w:hyperlink w:history="0" r:id="rId109" w:tooltip="Постановление Правительства Пермского края от 30.12.2020 N 1068-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30.12.2020 N 1068-п)</w:t>
      </w:r>
    </w:p>
    <w:p>
      <w:pPr>
        <w:pStyle w:val="0"/>
        <w:spacing w:before="200" w:line-rule="auto"/>
        <w:ind w:firstLine="540"/>
        <w:jc w:val="both"/>
      </w:pPr>
      <w:r>
        <w:rPr>
          <w:sz w:val="20"/>
        </w:rPr>
        <w:t xml:space="preserve">3.4.5.4. регистров бухгалтерского учета, подтверждающих постановку на баланс оборудования;</w:t>
      </w:r>
    </w:p>
    <w:p>
      <w:pPr>
        <w:pStyle w:val="0"/>
        <w:spacing w:before="200" w:line-rule="auto"/>
        <w:ind w:firstLine="540"/>
        <w:jc w:val="both"/>
      </w:pPr>
      <w:r>
        <w:rPr>
          <w:sz w:val="20"/>
        </w:rPr>
        <w:t xml:space="preserve">3.4.5.5. утратил силу. - </w:t>
      </w:r>
      <w:hyperlink w:history="0" r:id="rId110" w:tooltip="Постановление Правительства Пермского края от 16.09.2020 N 688-п &quot;О внесении изменений в отдельные постановления Правительства Пермского края по вопросам развития малого и среднего предпринимательства&quot; {КонсультантПлюс}">
        <w:r>
          <w:rPr>
            <w:sz w:val="20"/>
            <w:color w:val="0000ff"/>
          </w:rPr>
          <w:t xml:space="preserve">Постановление</w:t>
        </w:r>
      </w:hyperlink>
      <w:r>
        <w:rPr>
          <w:sz w:val="20"/>
        </w:rPr>
        <w:t xml:space="preserve"> Правительства Пермского края от 16.09.2020 N 688-п;</w:t>
      </w:r>
    </w:p>
    <w:bookmarkStart w:id="164" w:name="P164"/>
    <w:bookmarkEnd w:id="164"/>
    <w:p>
      <w:pPr>
        <w:pStyle w:val="0"/>
        <w:spacing w:before="200" w:line-rule="auto"/>
        <w:ind w:firstLine="540"/>
        <w:jc w:val="both"/>
      </w:pPr>
      <w:r>
        <w:rPr>
          <w:sz w:val="20"/>
        </w:rPr>
        <w:t xml:space="preserve">3.4.6. </w:t>
      </w:r>
      <w:hyperlink w:history="0" w:anchor="P674" w:tooltip="ПАСПОРТ">
        <w:r>
          <w:rPr>
            <w:sz w:val="20"/>
            <w:color w:val="0000ff"/>
          </w:rPr>
          <w:t xml:space="preserve">паспорт</w:t>
        </w:r>
      </w:hyperlink>
      <w:r>
        <w:rPr>
          <w:sz w:val="20"/>
        </w:rPr>
        <w:t xml:space="preserve"> бизнес-проекта (инвестиционного проекта) субъекта малого и среднего предпринимательства по форме согласно приложению 3 к настоящему Порядку;</w:t>
      </w:r>
    </w:p>
    <w:bookmarkStart w:id="165" w:name="P165"/>
    <w:bookmarkEnd w:id="165"/>
    <w:p>
      <w:pPr>
        <w:pStyle w:val="0"/>
        <w:spacing w:before="200" w:line-rule="auto"/>
        <w:ind w:firstLine="540"/>
        <w:jc w:val="both"/>
      </w:pPr>
      <w:r>
        <w:rPr>
          <w:sz w:val="20"/>
        </w:rPr>
        <w:t xml:space="preserve">3.4.7. дополнительно представляются заверенные субъектом МСП копии:</w:t>
      </w:r>
    </w:p>
    <w:p>
      <w:pPr>
        <w:pStyle w:val="0"/>
        <w:spacing w:before="200" w:line-rule="auto"/>
        <w:ind w:firstLine="540"/>
        <w:jc w:val="both"/>
      </w:pPr>
      <w:r>
        <w:rPr>
          <w:sz w:val="20"/>
        </w:rPr>
        <w:t xml:space="preserve">свидетельства о постановке на учет субъекта МСП или его обособленного подразделения в налоговом органе соответствующего монопрофильного муниципального образования (моногорода) Пермского края - в случае соответствия субъекта МСП условиям, предусмотренным </w:t>
      </w:r>
      <w:hyperlink w:history="0" w:anchor="P70" w:tooltip="субъекты МСП, зарегистрированные и осуществляющие деятельность на территории монопрофильного муниципального образования (моногорода) Пермского края, сведения о котором входят в перечень монопрофильных муниципальных образований Российской Федерации (моногородов), утвержденный распоряжением Правительства Российской Федерации от 29 июля 2014 г. N 1398-р, или осуществляющие деятельность на территории такого монопрофильного муниципального образования (моногорода) Пермского края через свое обособленное подразд...">
        <w:r>
          <w:rPr>
            <w:sz w:val="20"/>
            <w:color w:val="0000ff"/>
          </w:rPr>
          <w:t xml:space="preserve">абзацем вторым пункта 1.3.8</w:t>
        </w:r>
      </w:hyperlink>
      <w:r>
        <w:rPr>
          <w:sz w:val="20"/>
        </w:rPr>
        <w:t xml:space="preserve"> настоящего Порядка;</w:t>
      </w:r>
    </w:p>
    <w:p>
      <w:pPr>
        <w:pStyle w:val="0"/>
        <w:spacing w:before="200" w:line-rule="auto"/>
        <w:ind w:firstLine="540"/>
        <w:jc w:val="both"/>
      </w:pPr>
      <w:r>
        <w:rPr>
          <w:sz w:val="20"/>
        </w:rPr>
        <w:t xml:space="preserve">свидетельства о внесении сведений о туроператоре в единый федеральный реестр туроператоров (только для субъектов МСП, осуществляющих в числе основных видов экономической деятельности виды деятельности, имеющие </w:t>
      </w:r>
      <w:hyperlink w:history="0" r:id="rId111" w:tooltip="&quot;ОК 029-2014 (КДЕС Ред. 2). Общероссийский классификатор видов экономической деятельности&quot; (утв. Приказом Росстандарта от 31.01.2014 N 14-ст) (ред. от 22.12.2022) {КонсультантПлюс}">
        <w:r>
          <w:rPr>
            <w:sz w:val="20"/>
            <w:color w:val="0000ff"/>
          </w:rPr>
          <w:t xml:space="preserve">код 79</w:t>
        </w:r>
      </w:hyperlink>
      <w:r>
        <w:rPr>
          <w:sz w:val="20"/>
        </w:rPr>
        <w:t xml:space="preserve"> ОКВЭД, установленный Общероссийским классификатором видов экономической деятельности, входящий в раздел N "Деятельность административная и сопутствующие дополнительные услуги");</w:t>
      </w:r>
    </w:p>
    <w:p>
      <w:pPr>
        <w:pStyle w:val="0"/>
        <w:spacing w:before="200" w:line-rule="auto"/>
        <w:ind w:firstLine="540"/>
        <w:jc w:val="both"/>
      </w:pPr>
      <w:r>
        <w:rPr>
          <w:sz w:val="20"/>
        </w:rPr>
        <w:t xml:space="preserve">свидетельства о присвоении категории (только для субъектов МСП, осуществляющих в числе основных видов экономической деятельности виды деятельности, имеющие </w:t>
      </w:r>
      <w:hyperlink w:history="0" r:id="rId112" w:tooltip="&quot;ОК 029-2014 (КДЕС Ред. 2). Общероссийский классификатор видов экономической деятельности&quot; (утв. Приказом Росстандарта от 31.01.2014 N 14-ст) (ред. от 22.12.2022) {КонсультантПлюс}">
        <w:r>
          <w:rPr>
            <w:sz w:val="20"/>
            <w:color w:val="0000ff"/>
          </w:rPr>
          <w:t xml:space="preserve">код 55</w:t>
        </w:r>
      </w:hyperlink>
      <w:r>
        <w:rPr>
          <w:sz w:val="20"/>
        </w:rPr>
        <w:t xml:space="preserve"> ОКВЭД, установленный Общероссийским классификатором видов экономической деятельности, входящий в раздел I "Деятельность гостиниц и предприятий общественного питания").</w:t>
      </w:r>
    </w:p>
    <w:p>
      <w:pPr>
        <w:pStyle w:val="0"/>
        <w:jc w:val="both"/>
      </w:pPr>
      <w:r>
        <w:rPr>
          <w:sz w:val="20"/>
        </w:rPr>
        <w:t xml:space="preserve">(п. 3.4.7 в ред. </w:t>
      </w:r>
      <w:hyperlink w:history="0" r:id="rId113" w:tooltip="Постановление Правительства Пермского края от 30.12.2020 N 1068-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30.12.2020 N 1068-п)</w:t>
      </w:r>
    </w:p>
    <w:p>
      <w:pPr>
        <w:pStyle w:val="0"/>
        <w:jc w:val="both"/>
      </w:pPr>
      <w:r>
        <w:rPr>
          <w:sz w:val="20"/>
        </w:rPr>
      </w:r>
    </w:p>
    <w:p>
      <w:pPr>
        <w:pStyle w:val="2"/>
        <w:outlineLvl w:val="1"/>
        <w:jc w:val="center"/>
      </w:pPr>
      <w:r>
        <w:rPr>
          <w:sz w:val="20"/>
        </w:rPr>
        <w:t xml:space="preserve">IV. Условия предоставления субсидий на возмещение части</w:t>
      </w:r>
    </w:p>
    <w:p>
      <w:pPr>
        <w:pStyle w:val="2"/>
        <w:jc w:val="center"/>
      </w:pPr>
      <w:r>
        <w:rPr>
          <w:sz w:val="20"/>
        </w:rPr>
        <w:t xml:space="preserve">затрат, связанных с уплатой первого взноса (аванса)</w:t>
      </w:r>
    </w:p>
    <w:p>
      <w:pPr>
        <w:pStyle w:val="2"/>
        <w:jc w:val="center"/>
      </w:pPr>
      <w:r>
        <w:rPr>
          <w:sz w:val="20"/>
        </w:rPr>
        <w:t xml:space="preserve">по договорам лизинга оборудования</w:t>
      </w:r>
    </w:p>
    <w:p>
      <w:pPr>
        <w:pStyle w:val="0"/>
        <w:jc w:val="center"/>
      </w:pPr>
      <w:r>
        <w:rPr>
          <w:sz w:val="20"/>
        </w:rPr>
        <w:t xml:space="preserve">(в ред. </w:t>
      </w:r>
      <w:hyperlink w:history="0" r:id="rId114" w:tooltip="Постановление Правительства Пермского края от 24.12.2019 N 980-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w:t>
      </w:r>
    </w:p>
    <w:p>
      <w:pPr>
        <w:pStyle w:val="0"/>
        <w:jc w:val="center"/>
      </w:pPr>
      <w:r>
        <w:rPr>
          <w:sz w:val="20"/>
        </w:rPr>
        <w:t xml:space="preserve">от 24.12.2019 N 980-п)</w:t>
      </w:r>
    </w:p>
    <w:p>
      <w:pPr>
        <w:pStyle w:val="0"/>
        <w:jc w:val="both"/>
      </w:pPr>
      <w:r>
        <w:rPr>
          <w:sz w:val="20"/>
        </w:rPr>
      </w:r>
    </w:p>
    <w:bookmarkStart w:id="177" w:name="P177"/>
    <w:bookmarkEnd w:id="177"/>
    <w:p>
      <w:pPr>
        <w:pStyle w:val="0"/>
        <w:ind w:firstLine="540"/>
        <w:jc w:val="both"/>
      </w:pPr>
      <w:r>
        <w:rPr>
          <w:sz w:val="20"/>
        </w:rPr>
        <w:t xml:space="preserve">4.1. Субсидии на возмещение части затрат, связанных с уплатой первого взноса (аванса) по договорам лизинга оборудования, предоставляются субъектам МСП по договорам лизинга оборудования, заключенным не ранее чем 1 января за три года, предшествующих году проведения конкурсного отбора.</w:t>
      </w:r>
    </w:p>
    <w:p>
      <w:pPr>
        <w:pStyle w:val="0"/>
        <w:jc w:val="both"/>
      </w:pPr>
      <w:r>
        <w:rPr>
          <w:sz w:val="20"/>
        </w:rPr>
        <w:t xml:space="preserve">(в ред. Постановлений Правительства Пермского края от 30.12.2020 </w:t>
      </w:r>
      <w:hyperlink w:history="0" r:id="rId115" w:tooltip="Постановление Правительства Пермского края от 30.12.2020 N 1068-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1068-п</w:t>
        </w:r>
      </w:hyperlink>
      <w:r>
        <w:rPr>
          <w:sz w:val="20"/>
        </w:rPr>
        <w:t xml:space="preserve">, от 20.10.2021 </w:t>
      </w:r>
      <w:hyperlink w:history="0" r:id="rId116" w:tooltip="Постановление Правительства Пермского края от 20.10.2021 N 79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793-п</w:t>
        </w:r>
      </w:hyperlink>
      <w:r>
        <w:rPr>
          <w:sz w:val="20"/>
        </w:rPr>
        <w:t xml:space="preserve">)</w:t>
      </w:r>
    </w:p>
    <w:p>
      <w:pPr>
        <w:pStyle w:val="0"/>
        <w:spacing w:before="200" w:line-rule="auto"/>
        <w:ind w:firstLine="540"/>
        <w:jc w:val="both"/>
      </w:pPr>
      <w:r>
        <w:rPr>
          <w:sz w:val="20"/>
        </w:rPr>
        <w:t xml:space="preserve">4.2. Условиями предоставления субсидии на возмещение части затрат, связанных с уплатой первого взноса (аванса) по договорам лизинга оборудования, являются:</w:t>
      </w:r>
    </w:p>
    <w:p>
      <w:pPr>
        <w:pStyle w:val="0"/>
        <w:spacing w:before="200" w:line-rule="auto"/>
        <w:ind w:firstLine="540"/>
        <w:jc w:val="both"/>
      </w:pPr>
      <w:r>
        <w:rPr>
          <w:sz w:val="20"/>
        </w:rPr>
        <w:t xml:space="preserve">4.2.1. соответствие субъекта МСП категориям и требованиям, установленным </w:t>
      </w:r>
      <w:hyperlink w:history="0" w:anchor="P95" w:tooltip="2.1.1. соответствующим категориям субъектов малого и среднего предпринимательства, установленным Федеральным законом от 24 июля 2007 г. N 209-ФЗ &quot;О развитии малого и среднего предпринимательства в Российской Федерации&quot;;">
        <w:r>
          <w:rPr>
            <w:sz w:val="20"/>
            <w:color w:val="0000ff"/>
          </w:rPr>
          <w:t xml:space="preserve">пунктами 2.1.1</w:t>
        </w:r>
      </w:hyperlink>
      <w:r>
        <w:rPr>
          <w:sz w:val="20"/>
        </w:rPr>
        <w:t xml:space="preserve">-</w:t>
      </w:r>
      <w:hyperlink w:history="0" w:anchor="P120" w:tooltip="2.1.11. не признавался совершившим нарушение порядка и условий оказания поддержки в течение года, за исключением случая более раннего устранения субъектом МСП такого нарушения при условии соблюдения им срока устранения такого нарушения, установленного Агентством,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не признавался совершившим такое нарушение в течение трех лет.">
        <w:r>
          <w:rPr>
            <w:sz w:val="20"/>
            <w:color w:val="0000ff"/>
          </w:rPr>
          <w:t xml:space="preserve">2.1.11</w:t>
        </w:r>
      </w:hyperlink>
      <w:r>
        <w:rPr>
          <w:sz w:val="20"/>
        </w:rPr>
        <w:t xml:space="preserve">, </w:t>
      </w:r>
      <w:hyperlink w:history="0" w:anchor="P122" w:tooltip="2.2. В предоставлении субсидий должно быть отказано в случае, если ранее в отношении субъекта МСП было принято решение об оказании аналогичной государственной поддержки (государственной поддержки, условия оказания которой совпадают, включая форму, вид поддержки и цели ее оказания, с формой, видами и целями предоставления субсидий, установленными настоящим Порядком) и сроки ее оказания не истекли.">
        <w:r>
          <w:rPr>
            <w:sz w:val="20"/>
            <w:color w:val="0000ff"/>
          </w:rPr>
          <w:t xml:space="preserve">2.2</w:t>
        </w:r>
      </w:hyperlink>
      <w:r>
        <w:rPr>
          <w:sz w:val="20"/>
        </w:rPr>
        <w:t xml:space="preserve"> настоящего Порядка;</w:t>
      </w:r>
    </w:p>
    <w:p>
      <w:pPr>
        <w:pStyle w:val="0"/>
        <w:jc w:val="both"/>
      </w:pPr>
      <w:r>
        <w:rPr>
          <w:sz w:val="20"/>
        </w:rPr>
        <w:t xml:space="preserve">(п. 4.2.1 в ред. </w:t>
      </w:r>
      <w:hyperlink w:history="0" r:id="rId117"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30.03.2023 N 222-п)</w:t>
      </w:r>
    </w:p>
    <w:p>
      <w:pPr>
        <w:pStyle w:val="0"/>
        <w:spacing w:before="200" w:line-rule="auto"/>
        <w:ind w:firstLine="540"/>
        <w:jc w:val="both"/>
      </w:pPr>
      <w:r>
        <w:rPr>
          <w:sz w:val="20"/>
        </w:rPr>
        <w:t xml:space="preserve">4.2.2. соответствие договора(ов) лизинга оборудования требованиям, установленным </w:t>
      </w:r>
      <w:hyperlink w:history="0" w:anchor="P193" w:tooltip="4.3. Субсидии на возмещение части затрат, связанных с уплатой первого взноса (аванса) по договорам лизинга оборудования, предоставляются по договорам лизинга оборудования, соответствующим следующим требованиям:">
        <w:r>
          <w:rPr>
            <w:sz w:val="20"/>
            <w:color w:val="0000ff"/>
          </w:rPr>
          <w:t xml:space="preserve">пунктом 4.3</w:t>
        </w:r>
      </w:hyperlink>
      <w:r>
        <w:rPr>
          <w:sz w:val="20"/>
        </w:rPr>
        <w:t xml:space="preserve"> настоящего Порядка;</w:t>
      </w:r>
    </w:p>
    <w:p>
      <w:pPr>
        <w:pStyle w:val="0"/>
        <w:jc w:val="both"/>
      </w:pPr>
      <w:r>
        <w:rPr>
          <w:sz w:val="20"/>
        </w:rPr>
        <w:t xml:space="preserve">(в ред. </w:t>
      </w:r>
      <w:hyperlink w:history="0" r:id="rId118" w:tooltip="Постановление Правительства Пермского края от 30.01.2020 N 40-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30.01.2020 N 40-п)</w:t>
      </w:r>
    </w:p>
    <w:p>
      <w:pPr>
        <w:pStyle w:val="0"/>
        <w:spacing w:before="200" w:line-rule="auto"/>
        <w:ind w:firstLine="540"/>
        <w:jc w:val="both"/>
      </w:pPr>
      <w:r>
        <w:rPr>
          <w:sz w:val="20"/>
        </w:rPr>
        <w:t xml:space="preserve">4.2.3. представление документов в соответствии с перечнем, установленным </w:t>
      </w:r>
      <w:hyperlink w:history="0" w:anchor="P204" w:tooltip="4.5.2. заявку на получение субсидии по форме согласно приложению 1 к настоящему Порядку в 2 экземплярах;">
        <w:r>
          <w:rPr>
            <w:sz w:val="20"/>
            <w:color w:val="0000ff"/>
          </w:rPr>
          <w:t xml:space="preserve">пунктами 4.5.2</w:t>
        </w:r>
      </w:hyperlink>
      <w:r>
        <w:rPr>
          <w:sz w:val="20"/>
        </w:rPr>
        <w:t xml:space="preserve">, </w:t>
      </w:r>
      <w:hyperlink w:history="0" w:anchor="P208" w:tooltip="4.5.4. расчет размера субсидии на возмещение части затрат, связанных с уплатой субъектом МСП первого взноса (аванса) при заключении договора лизинга оборудования, по форме согласно приложению 4 к настоящему Порядку в соответствии с требованиями, установленными пунктом 4.4 и разделом IV(1) настоящего Порядка;">
        <w:r>
          <w:rPr>
            <w:sz w:val="20"/>
            <w:color w:val="0000ff"/>
          </w:rPr>
          <w:t xml:space="preserve">4.5.4</w:t>
        </w:r>
      </w:hyperlink>
      <w:r>
        <w:rPr>
          <w:sz w:val="20"/>
        </w:rPr>
        <w:t xml:space="preserve">-</w:t>
      </w:r>
      <w:hyperlink w:history="0" w:anchor="P220" w:tooltip="4.5.9. дополнительно представляются заверенные субъектом МСП копии:">
        <w:r>
          <w:rPr>
            <w:sz w:val="20"/>
            <w:color w:val="0000ff"/>
          </w:rPr>
          <w:t xml:space="preserve">4.5.9</w:t>
        </w:r>
      </w:hyperlink>
      <w:r>
        <w:rPr>
          <w:sz w:val="20"/>
        </w:rPr>
        <w:t xml:space="preserve"> настоящего Порядка, в сроки, указанные в объявлении о начале конкурса;</w:t>
      </w:r>
    </w:p>
    <w:p>
      <w:pPr>
        <w:pStyle w:val="0"/>
        <w:jc w:val="both"/>
      </w:pPr>
      <w:r>
        <w:rPr>
          <w:sz w:val="20"/>
        </w:rPr>
        <w:t xml:space="preserve">(в ред. </w:t>
      </w:r>
      <w:hyperlink w:history="0" r:id="rId119" w:tooltip="Постановление Правительства Пермского края от 16.09.2020 N 688-п &quot;О внесении изменений в отдельные постановления Правительства Пермского края по вопросам развития малого и среднего предпринимательства&quot; {КонсультантПлюс}">
        <w:r>
          <w:rPr>
            <w:sz w:val="20"/>
            <w:color w:val="0000ff"/>
          </w:rPr>
          <w:t xml:space="preserve">Постановления</w:t>
        </w:r>
      </w:hyperlink>
      <w:r>
        <w:rPr>
          <w:sz w:val="20"/>
        </w:rPr>
        <w:t xml:space="preserve"> Правительства Пермского края от 16.09.2020 N 688-п)</w:t>
      </w:r>
    </w:p>
    <w:p>
      <w:pPr>
        <w:pStyle w:val="0"/>
        <w:spacing w:before="200" w:line-rule="auto"/>
        <w:ind w:firstLine="540"/>
        <w:jc w:val="both"/>
      </w:pPr>
      <w:r>
        <w:rPr>
          <w:sz w:val="20"/>
        </w:rPr>
        <w:t xml:space="preserve">4.2.4. достижение результатов предоставления субсидии, значение которых установлено соглашением о предоставлении субсидии, заключаемым в соответствии с </w:t>
      </w:r>
      <w:hyperlink w:history="0" w:anchor="P399" w:tooltip="5.21. Субсидия предоставляется на основании соглашения о предоставлении субсидии (далее - Соглашение), заключенного между победителем конкурса (далее - получатель субсидии) и Агентством в соответствии с типовой формой, утвержденной Министерством финансов Пермского края.">
        <w:r>
          <w:rPr>
            <w:sz w:val="20"/>
            <w:color w:val="0000ff"/>
          </w:rPr>
          <w:t xml:space="preserve">пунктом 5.21</w:t>
        </w:r>
      </w:hyperlink>
      <w:r>
        <w:rPr>
          <w:sz w:val="20"/>
        </w:rPr>
        <w:t xml:space="preserve"> настоящего Порядка;</w:t>
      </w:r>
    </w:p>
    <w:p>
      <w:pPr>
        <w:pStyle w:val="0"/>
        <w:spacing w:before="200" w:line-rule="auto"/>
        <w:ind w:firstLine="540"/>
        <w:jc w:val="both"/>
      </w:pPr>
      <w:r>
        <w:rPr>
          <w:sz w:val="20"/>
        </w:rPr>
        <w:t xml:space="preserve">4.2.5. осуществление предпринимательской деятельности в течение не менее 3 лет с момента получения субсидии;</w:t>
      </w:r>
    </w:p>
    <w:p>
      <w:pPr>
        <w:pStyle w:val="0"/>
        <w:spacing w:before="200" w:line-rule="auto"/>
        <w:ind w:firstLine="540"/>
        <w:jc w:val="both"/>
      </w:pPr>
      <w:r>
        <w:rPr>
          <w:sz w:val="20"/>
        </w:rPr>
        <w:t xml:space="preserve">4.2.6. неотчуждение приобретенного оборудования в течение 3 лет с момента получения субсидии;</w:t>
      </w:r>
    </w:p>
    <w:p>
      <w:pPr>
        <w:pStyle w:val="0"/>
        <w:spacing w:before="200" w:line-rule="auto"/>
        <w:ind w:firstLine="540"/>
        <w:jc w:val="both"/>
      </w:pPr>
      <w:r>
        <w:rPr>
          <w:sz w:val="20"/>
        </w:rPr>
        <w:t xml:space="preserve">4.2.7. согласие субъекта МСП на проведение выездного мероприятия должностного лица Агентства для обследования оборудования и составления акта обследования наличия оборудования и его монтажа;</w:t>
      </w:r>
    </w:p>
    <w:p>
      <w:pPr>
        <w:pStyle w:val="0"/>
        <w:jc w:val="both"/>
      </w:pPr>
      <w:r>
        <w:rPr>
          <w:sz w:val="20"/>
        </w:rPr>
        <w:t xml:space="preserve">(в ред. </w:t>
      </w:r>
      <w:hyperlink w:history="0" r:id="rId120" w:tooltip="Постановление Правительства Пермского края от 16.09.2020 N 688-п &quot;О внесении изменений в отдельные постановления Правительства Пермского края по вопросам развития малого и среднего предпринимательства&quot; {КонсультантПлюс}">
        <w:r>
          <w:rPr>
            <w:sz w:val="20"/>
            <w:color w:val="0000ff"/>
          </w:rPr>
          <w:t xml:space="preserve">Постановления</w:t>
        </w:r>
      </w:hyperlink>
      <w:r>
        <w:rPr>
          <w:sz w:val="20"/>
        </w:rPr>
        <w:t xml:space="preserve"> Правительства Пермского края от 16.09.2020 N 688-п)</w:t>
      </w:r>
    </w:p>
    <w:bookmarkStart w:id="191" w:name="P191"/>
    <w:bookmarkEnd w:id="191"/>
    <w:p>
      <w:pPr>
        <w:pStyle w:val="0"/>
        <w:spacing w:before="200" w:line-rule="auto"/>
        <w:ind w:firstLine="540"/>
        <w:jc w:val="both"/>
      </w:pPr>
      <w:r>
        <w:rPr>
          <w:sz w:val="20"/>
        </w:rPr>
        <w:t xml:space="preserve">4.2.8. затраты, связанные с оплатой первого взноса (аванса) лизинга, осуществлены непосредственно субъектом МСП - участником конкурсного отбора.</w:t>
      </w:r>
    </w:p>
    <w:p>
      <w:pPr>
        <w:pStyle w:val="0"/>
        <w:jc w:val="both"/>
      </w:pPr>
      <w:r>
        <w:rPr>
          <w:sz w:val="20"/>
        </w:rPr>
        <w:t xml:space="preserve">(п. 4.2.8 введен </w:t>
      </w:r>
      <w:hyperlink w:history="0" r:id="rId121"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Постановлением</w:t>
        </w:r>
      </w:hyperlink>
      <w:r>
        <w:rPr>
          <w:sz w:val="20"/>
        </w:rPr>
        <w:t xml:space="preserve"> Правительства Пермского края от 30.03.2023 N 222-п)</w:t>
      </w:r>
    </w:p>
    <w:bookmarkStart w:id="193" w:name="P193"/>
    <w:bookmarkEnd w:id="193"/>
    <w:p>
      <w:pPr>
        <w:pStyle w:val="0"/>
        <w:spacing w:before="200" w:line-rule="auto"/>
        <w:ind w:firstLine="540"/>
        <w:jc w:val="both"/>
      </w:pPr>
      <w:r>
        <w:rPr>
          <w:sz w:val="20"/>
        </w:rPr>
        <w:t xml:space="preserve">4.3. Субсидии на возмещение части затрат, связанных с уплатой первого взноса (аванса) по договорам лизинга оборудования, предоставляются по договорам лизинга оборудования, соответствующим следующим требованиям:</w:t>
      </w:r>
    </w:p>
    <w:p>
      <w:pPr>
        <w:pStyle w:val="0"/>
        <w:spacing w:before="200" w:line-rule="auto"/>
        <w:ind w:firstLine="540"/>
        <w:jc w:val="both"/>
      </w:pPr>
      <w:r>
        <w:rPr>
          <w:sz w:val="20"/>
        </w:rPr>
        <w:t xml:space="preserve">4.3.1. лизинговая компания, с которой заключен договор лизинга оборудования, зарегистрирована и осуществляет деятельность на территории Российской Федерации, имеет уведомление о постановке на учет в Федеральной службе по финансовому мониторингу;</w:t>
      </w:r>
    </w:p>
    <w:p>
      <w:pPr>
        <w:pStyle w:val="0"/>
        <w:spacing w:before="200" w:line-rule="auto"/>
        <w:ind w:firstLine="540"/>
        <w:jc w:val="both"/>
      </w:pPr>
      <w:r>
        <w:rPr>
          <w:sz w:val="20"/>
        </w:rPr>
        <w:t xml:space="preserve">4.3.2. договор лизинга оборудования содержит условия о выкупе лизингополучателем предмета лизинга;</w:t>
      </w:r>
    </w:p>
    <w:p>
      <w:pPr>
        <w:pStyle w:val="0"/>
        <w:spacing w:before="200" w:line-rule="auto"/>
        <w:ind w:firstLine="540"/>
        <w:jc w:val="both"/>
      </w:pPr>
      <w:r>
        <w:rPr>
          <w:sz w:val="20"/>
        </w:rPr>
        <w:t xml:space="preserve">4.3.3. размер первого взноса (аванса), используемый для расчета субсидии на возмещение части затрат, связанных с уплатой первого взноса (аванса) при заключении договора лизинга оборудования, не превышает 50% от стоимости предмета лизинга в соответствии с договором лизинга оборудования;</w:t>
      </w:r>
    </w:p>
    <w:p>
      <w:pPr>
        <w:pStyle w:val="0"/>
        <w:spacing w:before="200" w:line-rule="auto"/>
        <w:ind w:firstLine="540"/>
        <w:jc w:val="both"/>
      </w:pPr>
      <w:r>
        <w:rPr>
          <w:sz w:val="20"/>
        </w:rPr>
        <w:t xml:space="preserve">4.3.4. договор(-ы) лизинга и прилагаемые к нему документы составлены на русском языке. В случае составления договора(-ов) лизинга и прилагаемых к нему документов на иностранном языке прилагается заверенный в установленном порядке перевод на русский язык.</w:t>
      </w:r>
    </w:p>
    <w:p>
      <w:pPr>
        <w:pStyle w:val="0"/>
        <w:jc w:val="both"/>
      </w:pPr>
      <w:r>
        <w:rPr>
          <w:sz w:val="20"/>
        </w:rPr>
        <w:t xml:space="preserve">(п. 4.3.4 введен </w:t>
      </w:r>
      <w:hyperlink w:history="0" r:id="rId122" w:tooltip="Постановление Правительства Пермского края от 20.10.2021 N 79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Постановлением</w:t>
        </w:r>
      </w:hyperlink>
      <w:r>
        <w:rPr>
          <w:sz w:val="20"/>
        </w:rPr>
        <w:t xml:space="preserve"> Правительства Пермского края от 20.10.2021 N 793-п)</w:t>
      </w:r>
    </w:p>
    <w:bookmarkStart w:id="199" w:name="P199"/>
    <w:bookmarkEnd w:id="199"/>
    <w:p>
      <w:pPr>
        <w:pStyle w:val="0"/>
        <w:spacing w:before="200" w:line-rule="auto"/>
        <w:ind w:firstLine="540"/>
        <w:jc w:val="both"/>
      </w:pPr>
      <w:r>
        <w:rPr>
          <w:sz w:val="20"/>
        </w:rPr>
        <w:t xml:space="preserve">4.4. Субсидии на возмещение части затрат, связанных с уплатой первого взноса (аванса) по договорам лизинга оборудования, предоставляются единовременно в размере, указанном в паспорте бизнес-проекта (инвестиционного проекта) субъекта МСП, представляемого субъектом МСП, но не более 100% произведенных затрат, включая затраты на монтаж оборудования, не более 5 млн рублей и не более чем один раз в три года.</w:t>
      </w:r>
    </w:p>
    <w:p>
      <w:pPr>
        <w:pStyle w:val="0"/>
        <w:jc w:val="both"/>
      </w:pPr>
      <w:r>
        <w:rPr>
          <w:sz w:val="20"/>
        </w:rPr>
        <w:t xml:space="preserve">(п. 4.4 в ред. </w:t>
      </w:r>
      <w:hyperlink w:history="0" r:id="rId123"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30.03.2023 N 222-п)</w:t>
      </w:r>
    </w:p>
    <w:bookmarkStart w:id="201" w:name="P201"/>
    <w:bookmarkEnd w:id="201"/>
    <w:p>
      <w:pPr>
        <w:pStyle w:val="0"/>
        <w:spacing w:before="200" w:line-rule="auto"/>
        <w:ind w:firstLine="540"/>
        <w:jc w:val="both"/>
      </w:pPr>
      <w:r>
        <w:rPr>
          <w:sz w:val="20"/>
        </w:rPr>
        <w:t xml:space="preserve">4.5. Для участия в конкурсе субъект МСП представляет в Агентство:</w:t>
      </w:r>
    </w:p>
    <w:p>
      <w:pPr>
        <w:pStyle w:val="0"/>
        <w:jc w:val="both"/>
      </w:pPr>
      <w:r>
        <w:rPr>
          <w:sz w:val="20"/>
        </w:rPr>
        <w:t xml:space="preserve">(в ред. </w:t>
      </w:r>
      <w:hyperlink w:history="0" r:id="rId124" w:tooltip="Постановление Правительства Пермского края от 16.09.2020 N 688-п &quot;О внесении изменений в отдельные постановления Правительства Пермского края по вопросам развития малого и среднего предпринимательства&quot; {КонсультантПлюс}">
        <w:r>
          <w:rPr>
            <w:sz w:val="20"/>
            <w:color w:val="0000ff"/>
          </w:rPr>
          <w:t xml:space="preserve">Постановления</w:t>
        </w:r>
      </w:hyperlink>
      <w:r>
        <w:rPr>
          <w:sz w:val="20"/>
        </w:rPr>
        <w:t xml:space="preserve"> Правительства Пермского края от 16.09.2020 N 688-п)</w:t>
      </w:r>
    </w:p>
    <w:p>
      <w:pPr>
        <w:pStyle w:val="0"/>
        <w:spacing w:before="200" w:line-rule="auto"/>
        <w:ind w:firstLine="540"/>
        <w:jc w:val="both"/>
      </w:pPr>
      <w:r>
        <w:rPr>
          <w:sz w:val="20"/>
        </w:rPr>
        <w:t xml:space="preserve">4.5.1. утратил силу. - </w:t>
      </w:r>
      <w:hyperlink w:history="0" r:id="rId125" w:tooltip="Постановление Правительства Пермского края от 16.09.2020 N 688-п &quot;О внесении изменений в отдельные постановления Правительства Пермского края по вопросам развития малого и среднего предпринимательства&quot; {КонсультантПлюс}">
        <w:r>
          <w:rPr>
            <w:sz w:val="20"/>
            <w:color w:val="0000ff"/>
          </w:rPr>
          <w:t xml:space="preserve">Постановление</w:t>
        </w:r>
      </w:hyperlink>
      <w:r>
        <w:rPr>
          <w:sz w:val="20"/>
        </w:rPr>
        <w:t xml:space="preserve"> Правительства Пермского края от 16.09.2020 N 688-п;</w:t>
      </w:r>
    </w:p>
    <w:bookmarkStart w:id="204" w:name="P204"/>
    <w:bookmarkEnd w:id="204"/>
    <w:p>
      <w:pPr>
        <w:pStyle w:val="0"/>
        <w:spacing w:before="200" w:line-rule="auto"/>
        <w:ind w:firstLine="540"/>
        <w:jc w:val="both"/>
      </w:pPr>
      <w:r>
        <w:rPr>
          <w:sz w:val="20"/>
        </w:rPr>
        <w:t xml:space="preserve">4.5.2. </w:t>
      </w:r>
      <w:hyperlink w:history="0" w:anchor="P532" w:tooltip="                                  ЗАЯВКА">
        <w:r>
          <w:rPr>
            <w:sz w:val="20"/>
            <w:color w:val="0000ff"/>
          </w:rPr>
          <w:t xml:space="preserve">заявку</w:t>
        </w:r>
      </w:hyperlink>
      <w:r>
        <w:rPr>
          <w:sz w:val="20"/>
        </w:rPr>
        <w:t xml:space="preserve"> на получение субсидии по форме согласно приложению 1 к настоящему Порядку в 2 экземплярах;</w:t>
      </w:r>
    </w:p>
    <w:p>
      <w:pPr>
        <w:pStyle w:val="0"/>
        <w:jc w:val="both"/>
      </w:pPr>
      <w:r>
        <w:rPr>
          <w:sz w:val="20"/>
        </w:rPr>
        <w:t xml:space="preserve">(в ред. </w:t>
      </w:r>
      <w:hyperlink w:history="0" r:id="rId126" w:tooltip="Постановление Правительства Пермского края от 16.09.2020 N 688-п &quot;О внесении изменений в отдельные постановления Правительства Пермского края по вопросам развития малого и среднего предпринимательства&quot; {КонсультантПлюс}">
        <w:r>
          <w:rPr>
            <w:sz w:val="20"/>
            <w:color w:val="0000ff"/>
          </w:rPr>
          <w:t xml:space="preserve">Постановления</w:t>
        </w:r>
      </w:hyperlink>
      <w:r>
        <w:rPr>
          <w:sz w:val="20"/>
        </w:rPr>
        <w:t xml:space="preserve"> Правительства Пермского края от 16.09.2020 N 688-п)</w:t>
      </w:r>
    </w:p>
    <w:p>
      <w:pPr>
        <w:pStyle w:val="0"/>
        <w:spacing w:before="200" w:line-rule="auto"/>
        <w:ind w:firstLine="540"/>
        <w:jc w:val="both"/>
      </w:pPr>
      <w:r>
        <w:rPr>
          <w:sz w:val="20"/>
        </w:rPr>
        <w:t xml:space="preserve">4.5.3. справку по установленной форме, подтверждающую отсутствие у субъекта МСП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предшествующую дате подачи заявки и документов для участия в конкурсе (в случае непредставления такого документа Агентство запрашивает соответствующие сведения самостоятельно);</w:t>
      </w:r>
    </w:p>
    <w:p>
      <w:pPr>
        <w:pStyle w:val="0"/>
        <w:jc w:val="both"/>
      </w:pPr>
      <w:r>
        <w:rPr>
          <w:sz w:val="20"/>
        </w:rPr>
        <w:t xml:space="preserve">(в ред. Постановлений Правительства Пермского края от 16.09.2020 </w:t>
      </w:r>
      <w:hyperlink w:history="0" r:id="rId127" w:tooltip="Постановление Правительства Пермского края от 16.09.2020 N 688-п &quot;О внесении изменений в отдельные постановления Правительства Пермского края по вопросам развития малого и среднего предпринимательства&quot; {КонсультантПлюс}">
        <w:r>
          <w:rPr>
            <w:sz w:val="20"/>
            <w:color w:val="0000ff"/>
          </w:rPr>
          <w:t xml:space="preserve">N 688-п</w:t>
        </w:r>
      </w:hyperlink>
      <w:r>
        <w:rPr>
          <w:sz w:val="20"/>
        </w:rPr>
        <w:t xml:space="preserve">, от 07.04.2022 </w:t>
      </w:r>
      <w:hyperlink w:history="0" r:id="rId128" w:tooltip="Постановление Правительства Пермского края от 07.04.2022 N 285-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285-п</w:t>
        </w:r>
      </w:hyperlink>
      <w:r>
        <w:rPr>
          <w:sz w:val="20"/>
        </w:rPr>
        <w:t xml:space="preserve">)</w:t>
      </w:r>
    </w:p>
    <w:bookmarkStart w:id="208" w:name="P208"/>
    <w:bookmarkEnd w:id="208"/>
    <w:p>
      <w:pPr>
        <w:pStyle w:val="0"/>
        <w:spacing w:before="200" w:line-rule="auto"/>
        <w:ind w:firstLine="540"/>
        <w:jc w:val="both"/>
      </w:pPr>
      <w:r>
        <w:rPr>
          <w:sz w:val="20"/>
        </w:rPr>
        <w:t xml:space="preserve">4.5.4. </w:t>
      </w:r>
      <w:hyperlink w:history="0" w:anchor="P992" w:tooltip="РАСЧЕТ">
        <w:r>
          <w:rPr>
            <w:sz w:val="20"/>
            <w:color w:val="0000ff"/>
          </w:rPr>
          <w:t xml:space="preserve">расчет</w:t>
        </w:r>
      </w:hyperlink>
      <w:r>
        <w:rPr>
          <w:sz w:val="20"/>
        </w:rPr>
        <w:t xml:space="preserve"> размера субсидии на возмещение части затрат, связанных с уплатой субъектом МСП первого взноса (аванса) при заключении договора лизинга оборудования, по форме согласно приложению 4 к настоящему Порядку в соответствии с требованиями, установленными </w:t>
      </w:r>
      <w:hyperlink w:history="0" w:anchor="P199" w:tooltip="4.4. Субсидии на возмещение части затрат, связанных с уплатой первого взноса (аванса) по договорам лизинга оборудования, предоставляются единовременно в размере, указанном в паспорте бизнес-проекта (инвестиционного проекта) субъекта МСП, представляемого субъектом МСП, но не более 100% произведенных затрат, включая затраты на монтаж оборудования, не более 5 млн рублей и не более чем один раз в три года.">
        <w:r>
          <w:rPr>
            <w:sz w:val="20"/>
            <w:color w:val="0000ff"/>
          </w:rPr>
          <w:t xml:space="preserve">пунктом 4.4</w:t>
        </w:r>
      </w:hyperlink>
      <w:r>
        <w:rPr>
          <w:sz w:val="20"/>
        </w:rPr>
        <w:t xml:space="preserve"> и </w:t>
      </w:r>
      <w:hyperlink w:history="0" w:anchor="P226" w:tooltip="IV(1). Особенности предоставления субсидий по двум">
        <w:r>
          <w:rPr>
            <w:sz w:val="20"/>
            <w:color w:val="0000ff"/>
          </w:rPr>
          <w:t xml:space="preserve">разделом IV(1)</w:t>
        </w:r>
      </w:hyperlink>
      <w:r>
        <w:rPr>
          <w:sz w:val="20"/>
        </w:rPr>
        <w:t xml:space="preserve"> настоящего Порядка;</w:t>
      </w:r>
    </w:p>
    <w:p>
      <w:pPr>
        <w:pStyle w:val="0"/>
        <w:jc w:val="both"/>
      </w:pPr>
      <w:r>
        <w:rPr>
          <w:sz w:val="20"/>
        </w:rPr>
        <w:t xml:space="preserve">(в ред. </w:t>
      </w:r>
      <w:hyperlink w:history="0" r:id="rId129" w:tooltip="Постановление Правительства Пермского края от 20.10.2021 N 79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20.10.2021 N 793-п)</w:t>
      </w:r>
    </w:p>
    <w:p>
      <w:pPr>
        <w:pStyle w:val="0"/>
        <w:spacing w:before="200" w:line-rule="auto"/>
        <w:ind w:firstLine="540"/>
        <w:jc w:val="both"/>
      </w:pPr>
      <w:r>
        <w:rPr>
          <w:sz w:val="20"/>
        </w:rPr>
        <w:t xml:space="preserve">4.5.5. заверенные лизинговой компанией копии:</w:t>
      </w:r>
    </w:p>
    <w:p>
      <w:pPr>
        <w:pStyle w:val="0"/>
        <w:spacing w:before="200" w:line-rule="auto"/>
        <w:ind w:firstLine="540"/>
        <w:jc w:val="both"/>
      </w:pPr>
      <w:r>
        <w:rPr>
          <w:sz w:val="20"/>
        </w:rPr>
        <w:t xml:space="preserve">4.5.5.1. договоров финансовой аренды (лизинга) оборудования;</w:t>
      </w:r>
    </w:p>
    <w:p>
      <w:pPr>
        <w:pStyle w:val="0"/>
        <w:spacing w:before="200" w:line-rule="auto"/>
        <w:ind w:firstLine="540"/>
        <w:jc w:val="both"/>
      </w:pPr>
      <w:r>
        <w:rPr>
          <w:sz w:val="20"/>
        </w:rPr>
        <w:t xml:space="preserve">4.5.5.2. договоров купли-продажи предмета лизинга;</w:t>
      </w:r>
    </w:p>
    <w:p>
      <w:pPr>
        <w:pStyle w:val="0"/>
        <w:spacing w:before="200" w:line-rule="auto"/>
        <w:ind w:firstLine="540"/>
        <w:jc w:val="both"/>
      </w:pPr>
      <w:r>
        <w:rPr>
          <w:sz w:val="20"/>
        </w:rPr>
        <w:t xml:space="preserve">4.5.5.3. актов приема-передачи предметов лизинга к договорам лизинга оборудования;</w:t>
      </w:r>
    </w:p>
    <w:p>
      <w:pPr>
        <w:pStyle w:val="0"/>
        <w:spacing w:before="200" w:line-rule="auto"/>
        <w:ind w:firstLine="540"/>
        <w:jc w:val="both"/>
      </w:pPr>
      <w:r>
        <w:rPr>
          <w:sz w:val="20"/>
        </w:rPr>
        <w:t xml:space="preserve">4.5.5.4. графиков уплаты лизинговых платежей по соответствующему договору лизинга оборудования;</w:t>
      </w:r>
    </w:p>
    <w:p>
      <w:pPr>
        <w:pStyle w:val="0"/>
        <w:spacing w:before="200" w:line-rule="auto"/>
        <w:ind w:firstLine="540"/>
        <w:jc w:val="both"/>
      </w:pPr>
      <w:r>
        <w:rPr>
          <w:sz w:val="20"/>
        </w:rPr>
        <w:t xml:space="preserve">4.5.5.5. уведомления о постановке на учет лизинговой компании в Федеральной службе по финансовому мониторингу;</w:t>
      </w:r>
    </w:p>
    <w:p>
      <w:pPr>
        <w:pStyle w:val="0"/>
        <w:spacing w:before="200" w:line-rule="auto"/>
        <w:ind w:firstLine="540"/>
        <w:jc w:val="both"/>
      </w:pPr>
      <w:r>
        <w:rPr>
          <w:sz w:val="20"/>
        </w:rPr>
        <w:t xml:space="preserve">4.5.6. копии платежных поручений (платежных требований, платежных ордеров), подтверждающих оплату по безналичному расчету субъектами МСП первого взноса (аванса) при заключении договора лизинга оборудования, или копии квитанций к приходно-кассовым ордерам с приложением кассовых чеков контрольно-кассовой техники (далее - ККТ), содержащих наименование продавца, дату продажи, название приобретенных товаров или услуг, их цену и количество, заверенные лизинговой компанией, в случае оплаты за наличный расчет;</w:t>
      </w:r>
    </w:p>
    <w:p>
      <w:pPr>
        <w:pStyle w:val="0"/>
        <w:jc w:val="both"/>
      </w:pPr>
      <w:r>
        <w:rPr>
          <w:sz w:val="20"/>
        </w:rPr>
        <w:t xml:space="preserve">(в ред. </w:t>
      </w:r>
      <w:hyperlink w:history="0" r:id="rId130" w:tooltip="Постановление Правительства Пермского края от 30.12.2020 N 1068-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30.12.2020 N 1068-п)</w:t>
      </w:r>
    </w:p>
    <w:p>
      <w:pPr>
        <w:pStyle w:val="0"/>
        <w:spacing w:before="200" w:line-rule="auto"/>
        <w:ind w:firstLine="540"/>
        <w:jc w:val="both"/>
      </w:pPr>
      <w:r>
        <w:rPr>
          <w:sz w:val="20"/>
        </w:rPr>
        <w:t xml:space="preserve">4.5.7. утратил силу. - </w:t>
      </w:r>
      <w:hyperlink w:history="0" r:id="rId131" w:tooltip="Постановление Правительства Пермского края от 16.09.2020 N 688-п &quot;О внесении изменений в отдельные постановления Правительства Пермского края по вопросам развития малого и среднего предпринимательства&quot; {КонсультантПлюс}">
        <w:r>
          <w:rPr>
            <w:sz w:val="20"/>
            <w:color w:val="0000ff"/>
          </w:rPr>
          <w:t xml:space="preserve">Постановление</w:t>
        </w:r>
      </w:hyperlink>
      <w:r>
        <w:rPr>
          <w:sz w:val="20"/>
        </w:rPr>
        <w:t xml:space="preserve"> Правительства Пермского края от 16.09.2020 N 688-п;</w:t>
      </w:r>
    </w:p>
    <w:p>
      <w:pPr>
        <w:pStyle w:val="0"/>
        <w:spacing w:before="200" w:line-rule="auto"/>
        <w:ind w:firstLine="540"/>
        <w:jc w:val="both"/>
      </w:pPr>
      <w:r>
        <w:rPr>
          <w:sz w:val="20"/>
        </w:rPr>
        <w:t xml:space="preserve">4.5.8. </w:t>
      </w:r>
      <w:hyperlink w:history="0" w:anchor="P674" w:tooltip="ПАСПОРТ">
        <w:r>
          <w:rPr>
            <w:sz w:val="20"/>
            <w:color w:val="0000ff"/>
          </w:rPr>
          <w:t xml:space="preserve">паспорт</w:t>
        </w:r>
      </w:hyperlink>
      <w:r>
        <w:rPr>
          <w:sz w:val="20"/>
        </w:rPr>
        <w:t xml:space="preserve"> бизнес-проекта (инвестиционного проекта) субъекта малого и среднего предпринимательства по форме согласно приложению 3 к настоящему Порядку;</w:t>
      </w:r>
    </w:p>
    <w:bookmarkStart w:id="220" w:name="P220"/>
    <w:bookmarkEnd w:id="220"/>
    <w:p>
      <w:pPr>
        <w:pStyle w:val="0"/>
        <w:spacing w:before="200" w:line-rule="auto"/>
        <w:ind w:firstLine="540"/>
        <w:jc w:val="both"/>
      </w:pPr>
      <w:r>
        <w:rPr>
          <w:sz w:val="20"/>
        </w:rPr>
        <w:t xml:space="preserve">4.5.9. дополнительно представляются заверенные субъектом МСП копии:</w:t>
      </w:r>
    </w:p>
    <w:p>
      <w:pPr>
        <w:pStyle w:val="0"/>
        <w:spacing w:before="200" w:line-rule="auto"/>
        <w:ind w:firstLine="540"/>
        <w:jc w:val="both"/>
      </w:pPr>
      <w:r>
        <w:rPr>
          <w:sz w:val="20"/>
        </w:rPr>
        <w:t xml:space="preserve">свидетельства о постановке на учет субъекта МСП или его обособленного подразделения в налоговом органе соответствующего монопрофильного муниципального образования (моногорода) Пермского края - в случае соответствия субъекта МСП условиям, предусмотренным </w:t>
      </w:r>
      <w:hyperlink w:history="0" w:anchor="P70" w:tooltip="субъекты МСП, зарегистрированные и осуществляющие деятельность на территории монопрофильного муниципального образования (моногорода) Пермского края, сведения о котором входят в перечень монопрофильных муниципальных образований Российской Федерации (моногородов), утвержденный распоряжением Правительства Российской Федерации от 29 июля 2014 г. N 1398-р, или осуществляющие деятельность на территории такого монопрофильного муниципального образования (моногорода) Пермского края через свое обособленное подразд...">
        <w:r>
          <w:rPr>
            <w:sz w:val="20"/>
            <w:color w:val="0000ff"/>
          </w:rPr>
          <w:t xml:space="preserve">абзацем вторым пункта 1.3.8</w:t>
        </w:r>
      </w:hyperlink>
      <w:r>
        <w:rPr>
          <w:sz w:val="20"/>
        </w:rPr>
        <w:t xml:space="preserve"> настоящего Порядка;</w:t>
      </w:r>
    </w:p>
    <w:p>
      <w:pPr>
        <w:pStyle w:val="0"/>
        <w:spacing w:before="200" w:line-rule="auto"/>
        <w:ind w:firstLine="540"/>
        <w:jc w:val="both"/>
      </w:pPr>
      <w:r>
        <w:rPr>
          <w:sz w:val="20"/>
        </w:rPr>
        <w:t xml:space="preserve">свидетельства о внесении сведений о туроператоре в единый федеральный реестр туроператоров (только для субъектов МСП, осуществляющих в числе основных видов экономической деятельности виды деятельности, имеющие </w:t>
      </w:r>
      <w:hyperlink w:history="0" r:id="rId132" w:tooltip="&quot;ОК 029-2014 (КДЕС Ред. 2). Общероссийский классификатор видов экономической деятельности&quot; (утв. Приказом Росстандарта от 31.01.2014 N 14-ст) (ред. от 22.12.2022) {КонсультантПлюс}">
        <w:r>
          <w:rPr>
            <w:sz w:val="20"/>
            <w:color w:val="0000ff"/>
          </w:rPr>
          <w:t xml:space="preserve">код 79</w:t>
        </w:r>
      </w:hyperlink>
      <w:r>
        <w:rPr>
          <w:sz w:val="20"/>
        </w:rPr>
        <w:t xml:space="preserve"> ОКВЭД, установленный Общероссийским классификатором видов экономической деятельности, входящий в раздел N "Деятельность административная и сопутствующие дополнительные услуги");</w:t>
      </w:r>
    </w:p>
    <w:p>
      <w:pPr>
        <w:pStyle w:val="0"/>
        <w:spacing w:before="200" w:line-rule="auto"/>
        <w:ind w:firstLine="540"/>
        <w:jc w:val="both"/>
      </w:pPr>
      <w:r>
        <w:rPr>
          <w:sz w:val="20"/>
        </w:rPr>
        <w:t xml:space="preserve">свидетельства о присвоении категории (только для субъектов МСП, осуществляющих в числе основных видов экономической деятельности виды деятельности, имеющие </w:t>
      </w:r>
      <w:hyperlink w:history="0" r:id="rId133" w:tooltip="&quot;ОК 029-2014 (КДЕС Ред. 2). Общероссийский классификатор видов экономической деятельности&quot; (утв. Приказом Росстандарта от 31.01.2014 N 14-ст) (ред. от 22.12.2022) {КонсультантПлюс}">
        <w:r>
          <w:rPr>
            <w:sz w:val="20"/>
            <w:color w:val="0000ff"/>
          </w:rPr>
          <w:t xml:space="preserve">код 55</w:t>
        </w:r>
      </w:hyperlink>
      <w:r>
        <w:rPr>
          <w:sz w:val="20"/>
        </w:rPr>
        <w:t xml:space="preserve"> ОКВЭД, установленный Общероссийским классификатором видов экономической деятельности, входящий в раздел I "Деятельность гостиниц и предприятий общественного питания").</w:t>
      </w:r>
    </w:p>
    <w:p>
      <w:pPr>
        <w:pStyle w:val="0"/>
        <w:jc w:val="both"/>
      </w:pPr>
      <w:r>
        <w:rPr>
          <w:sz w:val="20"/>
        </w:rPr>
        <w:t xml:space="preserve">(п. 4.5.9 в ред. </w:t>
      </w:r>
      <w:hyperlink w:history="0" r:id="rId134" w:tooltip="Постановление Правительства Пермского края от 30.12.2020 N 1068-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30.12.2020 N 1068-п)</w:t>
      </w:r>
    </w:p>
    <w:p>
      <w:pPr>
        <w:pStyle w:val="0"/>
        <w:jc w:val="both"/>
      </w:pPr>
      <w:r>
        <w:rPr>
          <w:sz w:val="20"/>
        </w:rPr>
      </w:r>
    </w:p>
    <w:bookmarkStart w:id="226" w:name="P226"/>
    <w:bookmarkEnd w:id="226"/>
    <w:p>
      <w:pPr>
        <w:pStyle w:val="2"/>
        <w:outlineLvl w:val="1"/>
        <w:jc w:val="center"/>
      </w:pPr>
      <w:r>
        <w:rPr>
          <w:sz w:val="20"/>
        </w:rPr>
        <w:t xml:space="preserve">IV(1). Особенности предоставления субсидий по двум</w:t>
      </w:r>
    </w:p>
    <w:p>
      <w:pPr>
        <w:pStyle w:val="2"/>
        <w:jc w:val="center"/>
      </w:pPr>
      <w:r>
        <w:rPr>
          <w:sz w:val="20"/>
        </w:rPr>
        <w:t xml:space="preserve">направлениям субсидирования</w:t>
      </w:r>
    </w:p>
    <w:p>
      <w:pPr>
        <w:pStyle w:val="0"/>
        <w:jc w:val="center"/>
      </w:pPr>
      <w:r>
        <w:rPr>
          <w:sz w:val="20"/>
        </w:rPr>
        <w:t xml:space="preserve">(в ред. </w:t>
      </w:r>
      <w:hyperlink w:history="0" r:id="rId135"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w:t>
      </w:r>
    </w:p>
    <w:p>
      <w:pPr>
        <w:pStyle w:val="0"/>
        <w:jc w:val="center"/>
      </w:pPr>
      <w:r>
        <w:rPr>
          <w:sz w:val="20"/>
        </w:rPr>
        <w:t xml:space="preserve">от 30.03.2023 N 222-п)</w:t>
      </w:r>
    </w:p>
    <w:p>
      <w:pPr>
        <w:pStyle w:val="0"/>
        <w:jc w:val="both"/>
      </w:pPr>
      <w:r>
        <w:rPr>
          <w:sz w:val="20"/>
        </w:rPr>
      </w:r>
    </w:p>
    <w:p>
      <w:pPr>
        <w:pStyle w:val="0"/>
        <w:ind w:firstLine="540"/>
        <w:jc w:val="both"/>
      </w:pPr>
      <w:r>
        <w:rPr>
          <w:sz w:val="20"/>
        </w:rPr>
        <w:t xml:space="preserve">Предоставление субсидий субъектам МСП по двум направлениям субсидирования, указанным в </w:t>
      </w:r>
      <w:hyperlink w:history="0" w:anchor="P54" w:tooltip="1.2. Настоящий Порядок предусматривает предоставление субсидии субъектам МСП по направлениям субсидирования:">
        <w:r>
          <w:rPr>
            <w:sz w:val="20"/>
            <w:color w:val="0000ff"/>
          </w:rPr>
          <w:t xml:space="preserve">пункте 1.2</w:t>
        </w:r>
      </w:hyperlink>
      <w:r>
        <w:rPr>
          <w:sz w:val="20"/>
        </w:rPr>
        <w:t xml:space="preserve"> настоящего Порядка, осуществляется при условии, что общая сумма запрашиваемой субсидии не превышает 5 млн рублей.</w:t>
      </w:r>
    </w:p>
    <w:p>
      <w:pPr>
        <w:pStyle w:val="0"/>
        <w:spacing w:before="200" w:line-rule="auto"/>
        <w:ind w:firstLine="540"/>
        <w:jc w:val="both"/>
      </w:pPr>
      <w:r>
        <w:rPr>
          <w:sz w:val="20"/>
        </w:rPr>
        <w:t xml:space="preserve">Для предоставления субсидии по двум направлениям субсидирования субъект МСП представляет в Агентство заявку и документы в соответствии с </w:t>
      </w:r>
      <w:hyperlink w:history="0" w:anchor="P149" w:tooltip="3.4.2. заявку на получение субсидии по форме согласно приложению 1 к настоящему Порядку в 2 экземплярах;">
        <w:r>
          <w:rPr>
            <w:sz w:val="20"/>
            <w:color w:val="0000ff"/>
          </w:rPr>
          <w:t xml:space="preserve">пунктами 3.4.2</w:t>
        </w:r>
      </w:hyperlink>
      <w:r>
        <w:rPr>
          <w:sz w:val="20"/>
        </w:rPr>
        <w:t xml:space="preserve">-</w:t>
      </w:r>
      <w:hyperlink w:history="0" w:anchor="P165" w:tooltip="3.4.7. дополнительно представляются заверенные субъектом МСП копии:">
        <w:r>
          <w:rPr>
            <w:sz w:val="20"/>
            <w:color w:val="0000ff"/>
          </w:rPr>
          <w:t xml:space="preserve">3.4.7</w:t>
        </w:r>
      </w:hyperlink>
      <w:r>
        <w:rPr>
          <w:sz w:val="20"/>
        </w:rPr>
        <w:t xml:space="preserve"> и </w:t>
      </w:r>
      <w:hyperlink w:history="0" w:anchor="P204" w:tooltip="4.5.2. заявку на получение субсидии по форме согласно приложению 1 к настоящему Порядку в 2 экземплярах;">
        <w:r>
          <w:rPr>
            <w:sz w:val="20"/>
            <w:color w:val="0000ff"/>
          </w:rPr>
          <w:t xml:space="preserve">4.5.2</w:t>
        </w:r>
      </w:hyperlink>
      <w:r>
        <w:rPr>
          <w:sz w:val="20"/>
        </w:rPr>
        <w:t xml:space="preserve">-</w:t>
      </w:r>
      <w:hyperlink w:history="0" w:anchor="P220" w:tooltip="4.5.9. дополнительно представляются заверенные субъектом МСП копии:">
        <w:r>
          <w:rPr>
            <w:sz w:val="20"/>
            <w:color w:val="0000ff"/>
          </w:rPr>
          <w:t xml:space="preserve">4.5.9</w:t>
        </w:r>
      </w:hyperlink>
      <w:r>
        <w:rPr>
          <w:sz w:val="20"/>
        </w:rPr>
        <w:t xml:space="preserve"> настоящего Порядка в сроки, указанные в объявлении об отборе, при этом </w:t>
      </w:r>
      <w:hyperlink w:history="0" w:anchor="P674" w:tooltip="ПАСПОРТ">
        <w:r>
          <w:rPr>
            <w:sz w:val="20"/>
            <w:color w:val="0000ff"/>
          </w:rPr>
          <w:t xml:space="preserve">паспорт</w:t>
        </w:r>
      </w:hyperlink>
      <w:r>
        <w:rPr>
          <w:sz w:val="20"/>
        </w:rPr>
        <w:t xml:space="preserve"> бизнес-проекта (инвестиционного проекта) субъекта малого и среднего предпринимательства прилагается в одном экземпляре по форме согласно приложению 3 к настоящему Порядку.</w:t>
      </w:r>
    </w:p>
    <w:p>
      <w:pPr>
        <w:pStyle w:val="0"/>
        <w:jc w:val="both"/>
      </w:pPr>
      <w:r>
        <w:rPr>
          <w:sz w:val="20"/>
        </w:rPr>
      </w:r>
    </w:p>
    <w:p>
      <w:pPr>
        <w:pStyle w:val="2"/>
        <w:outlineLvl w:val="1"/>
        <w:jc w:val="center"/>
      </w:pPr>
      <w:r>
        <w:rPr>
          <w:sz w:val="20"/>
        </w:rPr>
        <w:t xml:space="preserve">V. Порядок проведения конкурса</w:t>
      </w:r>
    </w:p>
    <w:p>
      <w:pPr>
        <w:pStyle w:val="0"/>
        <w:jc w:val="center"/>
      </w:pPr>
      <w:r>
        <w:rPr>
          <w:sz w:val="20"/>
        </w:rPr>
        <w:t xml:space="preserve">(в ред. </w:t>
      </w:r>
      <w:hyperlink w:history="0" r:id="rId136" w:tooltip="Постановление Правительства Пермского края от 20.12.2018 N 84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w:t>
      </w:r>
    </w:p>
    <w:p>
      <w:pPr>
        <w:pStyle w:val="0"/>
        <w:jc w:val="center"/>
      </w:pPr>
      <w:r>
        <w:rPr>
          <w:sz w:val="20"/>
        </w:rPr>
        <w:t xml:space="preserve">от 20.12.2018 N 843-п)</w:t>
      </w:r>
    </w:p>
    <w:p>
      <w:pPr>
        <w:pStyle w:val="0"/>
        <w:jc w:val="both"/>
      </w:pPr>
      <w:r>
        <w:rPr>
          <w:sz w:val="20"/>
        </w:rPr>
      </w:r>
    </w:p>
    <w:p>
      <w:pPr>
        <w:pStyle w:val="0"/>
        <w:ind w:firstLine="540"/>
        <w:jc w:val="both"/>
      </w:pPr>
      <w:r>
        <w:rPr>
          <w:sz w:val="20"/>
        </w:rPr>
        <w:t xml:space="preserve">5.1. Конкурс проводится в целях определения субъектов МСП для предоставления субсидий для возмещения части затрат, связанных с осуществлением ими предпринимательской деятельности.</w:t>
      </w:r>
    </w:p>
    <w:p>
      <w:pPr>
        <w:pStyle w:val="0"/>
        <w:spacing w:before="200" w:line-rule="auto"/>
        <w:ind w:firstLine="540"/>
        <w:jc w:val="both"/>
      </w:pPr>
      <w:r>
        <w:rPr>
          <w:sz w:val="20"/>
        </w:rPr>
        <w:t xml:space="preserve">5.2. Агентство ежегодно, в срок до 20 апреля, размещает в информационно-телекоммуникационной сети "Интернет" на едином портале, официальном сайте Агентства и официальном сайте информационной поддержки субъектов малого и среднего предпринимательства по адресу: www.msppk.ru, объявление о проведении конкурсного отбора (далее - объявление об отборе), содержащее:</w:t>
      </w:r>
    </w:p>
    <w:p>
      <w:pPr>
        <w:pStyle w:val="0"/>
        <w:spacing w:before="200" w:line-rule="auto"/>
        <w:ind w:firstLine="540"/>
        <w:jc w:val="both"/>
      </w:pPr>
      <w:r>
        <w:rPr>
          <w:sz w:val="20"/>
        </w:rPr>
        <w:t xml:space="preserve">сроки и этапы проведения конкурсного отбора;</w:t>
      </w:r>
    </w:p>
    <w:p>
      <w:pPr>
        <w:pStyle w:val="0"/>
        <w:jc w:val="both"/>
      </w:pPr>
      <w:r>
        <w:rPr>
          <w:sz w:val="20"/>
        </w:rPr>
        <w:t xml:space="preserve">(в ред. </w:t>
      </w:r>
      <w:hyperlink w:history="0" r:id="rId137" w:tooltip="Постановление Правительства Пермского края от 20.10.2021 N 79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20.10.2021 N 793-п)</w:t>
      </w:r>
    </w:p>
    <w:p>
      <w:pPr>
        <w:pStyle w:val="0"/>
        <w:spacing w:before="200" w:line-rule="auto"/>
        <w:ind w:firstLine="540"/>
        <w:jc w:val="both"/>
      </w:pPr>
      <w:r>
        <w:rPr>
          <w:sz w:val="20"/>
        </w:rPr>
        <w:t xml:space="preserve">дату начала подачи или окончания приема заявок субъектов МСП, которая не может быть ранее 30-го календарного дня, следующего за днем размещения объявления об отборе;</w:t>
      </w:r>
    </w:p>
    <w:p>
      <w:pPr>
        <w:pStyle w:val="0"/>
        <w:jc w:val="both"/>
      </w:pPr>
      <w:r>
        <w:rPr>
          <w:sz w:val="20"/>
        </w:rPr>
        <w:t xml:space="preserve">(абзац введен </w:t>
      </w:r>
      <w:hyperlink w:history="0" r:id="rId138" w:tooltip="Постановление Правительства Пермского края от 20.10.2021 N 79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Постановлением</w:t>
        </w:r>
      </w:hyperlink>
      <w:r>
        <w:rPr>
          <w:sz w:val="20"/>
        </w:rPr>
        <w:t xml:space="preserve"> Правительства Пермского края от 20.10.2021 N 793-п)</w:t>
      </w:r>
    </w:p>
    <w:p>
      <w:pPr>
        <w:pStyle w:val="0"/>
        <w:spacing w:before="200" w:line-rule="auto"/>
        <w:ind w:firstLine="540"/>
        <w:jc w:val="both"/>
      </w:pPr>
      <w:r>
        <w:rPr>
          <w:sz w:val="20"/>
        </w:rPr>
        <w:t xml:space="preserve">наименование, место нахождения, почтовый адрес, адрес электронной почты Агентства;</w:t>
      </w:r>
    </w:p>
    <w:p>
      <w:pPr>
        <w:pStyle w:val="0"/>
        <w:jc w:val="both"/>
      </w:pPr>
      <w:r>
        <w:rPr>
          <w:sz w:val="20"/>
        </w:rPr>
        <w:t xml:space="preserve">(абзац введен </w:t>
      </w:r>
      <w:hyperlink w:history="0" r:id="rId139" w:tooltip="Постановление Правительства Пермского края от 20.10.2021 N 79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Постановлением</w:t>
        </w:r>
      </w:hyperlink>
      <w:r>
        <w:rPr>
          <w:sz w:val="20"/>
        </w:rPr>
        <w:t xml:space="preserve"> Правительства Пермского края от 20.10.2021 N 793-п)</w:t>
      </w:r>
    </w:p>
    <w:p>
      <w:pPr>
        <w:pStyle w:val="0"/>
        <w:spacing w:before="200" w:line-rule="auto"/>
        <w:ind w:firstLine="540"/>
        <w:jc w:val="both"/>
      </w:pPr>
      <w:r>
        <w:rPr>
          <w:sz w:val="20"/>
        </w:rPr>
        <w:t xml:space="preserve">контактную информацию о специалисте(-ах) Агентства, ответственном(-ых) за регистрацию заявок и документов, указанных в </w:t>
      </w:r>
      <w:hyperlink w:history="0" w:anchor="P149" w:tooltip="3.4.2. заявку на получение субсидии по форме согласно приложению 1 к настоящему Порядку в 2 экземплярах;">
        <w:r>
          <w:rPr>
            <w:sz w:val="20"/>
            <w:color w:val="0000ff"/>
          </w:rPr>
          <w:t xml:space="preserve">пунктах 3.4.2</w:t>
        </w:r>
      </w:hyperlink>
      <w:r>
        <w:rPr>
          <w:sz w:val="20"/>
        </w:rPr>
        <w:t xml:space="preserve">-</w:t>
      </w:r>
      <w:hyperlink w:history="0" w:anchor="P165" w:tooltip="3.4.7. дополнительно представляются заверенные субъектом МСП копии:">
        <w:r>
          <w:rPr>
            <w:sz w:val="20"/>
            <w:color w:val="0000ff"/>
          </w:rPr>
          <w:t xml:space="preserve">3.4.7</w:t>
        </w:r>
      </w:hyperlink>
      <w:r>
        <w:rPr>
          <w:sz w:val="20"/>
        </w:rPr>
        <w:t xml:space="preserve"> и </w:t>
      </w:r>
      <w:hyperlink w:history="0" w:anchor="P204" w:tooltip="4.5.2. заявку на получение субсидии по форме согласно приложению 1 к настоящему Порядку в 2 экземплярах;">
        <w:r>
          <w:rPr>
            <w:sz w:val="20"/>
            <w:color w:val="0000ff"/>
          </w:rPr>
          <w:t xml:space="preserve">4.5.2</w:t>
        </w:r>
      </w:hyperlink>
      <w:r>
        <w:rPr>
          <w:sz w:val="20"/>
        </w:rPr>
        <w:t xml:space="preserve">-</w:t>
      </w:r>
      <w:hyperlink w:history="0" w:anchor="P220" w:tooltip="4.5.9. дополнительно представляются заверенные субъектом МСП копии:">
        <w:r>
          <w:rPr>
            <w:sz w:val="20"/>
            <w:color w:val="0000ff"/>
          </w:rPr>
          <w:t xml:space="preserve">4.5.9</w:t>
        </w:r>
      </w:hyperlink>
      <w:r>
        <w:rPr>
          <w:sz w:val="20"/>
        </w:rPr>
        <w:t xml:space="preserve"> настоящего Порядка;</w:t>
      </w:r>
    </w:p>
    <w:p>
      <w:pPr>
        <w:pStyle w:val="0"/>
        <w:spacing w:before="200" w:line-rule="auto"/>
        <w:ind w:firstLine="540"/>
        <w:jc w:val="both"/>
      </w:pPr>
      <w:r>
        <w:rPr>
          <w:sz w:val="20"/>
        </w:rPr>
        <w:t xml:space="preserve">результаты предоставления субсидии в соответствии с </w:t>
      </w:r>
      <w:hyperlink w:history="0" w:anchor="P81" w:tooltip="1.5. Результатом предоставления субсидии является создание новых рабочих мест (включая вновь зарегистрированных индивидуальных предпринимателей) субъектами МСП, получившими субсидию, значение которого рассчитывается в соответствии с пунктом 6.5.1 настоящего Порядка и в году предоставления субсидии не может быть менее двух рабочих мест.">
        <w:r>
          <w:rPr>
            <w:sz w:val="20"/>
            <w:color w:val="0000ff"/>
          </w:rPr>
          <w:t xml:space="preserve">пунктом 1.5</w:t>
        </w:r>
      </w:hyperlink>
      <w:r>
        <w:rPr>
          <w:sz w:val="20"/>
        </w:rPr>
        <w:t xml:space="preserve"> настоящего Порядка;</w:t>
      </w:r>
    </w:p>
    <w:p>
      <w:pPr>
        <w:pStyle w:val="0"/>
        <w:jc w:val="both"/>
      </w:pPr>
      <w:r>
        <w:rPr>
          <w:sz w:val="20"/>
        </w:rPr>
        <w:t xml:space="preserve">(в ред. </w:t>
      </w:r>
      <w:hyperlink w:history="0" r:id="rId140" w:tooltip="Постановление Правительства Пермского края от 03.02.2021 N 67-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03.02.2021 N 67-п)</w:t>
      </w:r>
    </w:p>
    <w:p>
      <w:pPr>
        <w:pStyle w:val="0"/>
        <w:spacing w:before="200" w:line-rule="auto"/>
        <w:ind w:firstLine="540"/>
        <w:jc w:val="both"/>
      </w:pPr>
      <w:r>
        <w:rPr>
          <w:sz w:val="20"/>
        </w:rPr>
        <w:t xml:space="preserve">доменное имя и (или) указатели страниц системы "Электронный бюджет" или официального сайта Агентства в информационно-телекоммуникационной сети "Интернет", на котором обеспечивается проведение конкурсного отбора;</w:t>
      </w:r>
    </w:p>
    <w:p>
      <w:pPr>
        <w:pStyle w:val="0"/>
        <w:jc w:val="both"/>
      </w:pPr>
      <w:r>
        <w:rPr>
          <w:sz w:val="20"/>
        </w:rPr>
        <w:t xml:space="preserve">(в ред. </w:t>
      </w:r>
      <w:hyperlink w:history="0" r:id="rId141" w:tooltip="Постановление Правительства Пермского края от 20.10.2021 N 79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20.10.2021 N 793-п)</w:t>
      </w:r>
    </w:p>
    <w:p>
      <w:pPr>
        <w:pStyle w:val="0"/>
        <w:spacing w:before="200" w:line-rule="auto"/>
        <w:ind w:firstLine="540"/>
        <w:jc w:val="both"/>
      </w:pPr>
      <w:r>
        <w:rPr>
          <w:sz w:val="20"/>
        </w:rPr>
        <w:t xml:space="preserve">требования к участникам отбора в соответствии с </w:t>
      </w:r>
      <w:hyperlink w:history="0" w:anchor="P103" w:tooltip="2.1.5. соответствующим на дату, предшествующую дате подачи заявки и документов для участия в конкурсе, следующим требованиям:">
        <w:r>
          <w:rPr>
            <w:sz w:val="20"/>
            <w:color w:val="0000ff"/>
          </w:rPr>
          <w:t xml:space="preserve">пунктом 2.1.5</w:t>
        </w:r>
      </w:hyperlink>
      <w:r>
        <w:rPr>
          <w:sz w:val="20"/>
        </w:rPr>
        <w:t xml:space="preserve"> настоящего Порядка и перечень документов, представляемых субъектами МСП для подтверждения их соответствия указанным требованиям;</w:t>
      </w:r>
    </w:p>
    <w:p>
      <w:pPr>
        <w:pStyle w:val="0"/>
        <w:spacing w:before="200" w:line-rule="auto"/>
        <w:ind w:firstLine="540"/>
        <w:jc w:val="both"/>
      </w:pPr>
      <w:r>
        <w:rPr>
          <w:sz w:val="20"/>
        </w:rPr>
        <w:t xml:space="preserve">порядок подачи заявки и документов субъектами МСП и требования, предъявляемые к форме и содержанию заявки и документов, подаваемых субъектами МСП, в соответствии с </w:t>
      </w:r>
      <w:hyperlink w:history="0" w:anchor="P146" w:tooltip="3.4. Для участия в конкурсе субъект МСП представляет в Агентство следующие документы:">
        <w:r>
          <w:rPr>
            <w:sz w:val="20"/>
            <w:color w:val="0000ff"/>
          </w:rPr>
          <w:t xml:space="preserve">пунктами 3.4</w:t>
        </w:r>
      </w:hyperlink>
      <w:r>
        <w:rPr>
          <w:sz w:val="20"/>
        </w:rPr>
        <w:t xml:space="preserve">, </w:t>
      </w:r>
      <w:hyperlink w:history="0" w:anchor="P201" w:tooltip="4.5. Для участия в конкурсе субъект МСП представляет в Агентство:">
        <w:r>
          <w:rPr>
            <w:sz w:val="20"/>
            <w:color w:val="0000ff"/>
          </w:rPr>
          <w:t xml:space="preserve">4.5</w:t>
        </w:r>
      </w:hyperlink>
      <w:r>
        <w:rPr>
          <w:sz w:val="20"/>
        </w:rPr>
        <w:t xml:space="preserve"> настоящего Порядка;</w:t>
      </w:r>
    </w:p>
    <w:p>
      <w:pPr>
        <w:pStyle w:val="0"/>
        <w:spacing w:before="200" w:line-rule="auto"/>
        <w:ind w:firstLine="540"/>
        <w:jc w:val="both"/>
      </w:pPr>
      <w:r>
        <w:rPr>
          <w:sz w:val="20"/>
        </w:rPr>
        <w:t xml:space="preserve">порядок отзыва и возврата заявки и документов субъекта МСП, определяющего в том числе основания для возврата заявки и документов субъекта МСП, порядок внесения изменений в заявку и документы субъекта МСП;</w:t>
      </w:r>
    </w:p>
    <w:p>
      <w:pPr>
        <w:pStyle w:val="0"/>
        <w:spacing w:before="200" w:line-rule="auto"/>
        <w:ind w:firstLine="540"/>
        <w:jc w:val="both"/>
      </w:pPr>
      <w:r>
        <w:rPr>
          <w:sz w:val="20"/>
        </w:rPr>
        <w:t xml:space="preserve">правила рассмотрения заявки и документов субъектов МСП в соответствии с </w:t>
      </w:r>
      <w:hyperlink w:history="0" w:anchor="P285" w:tooltip="5.5. Рассмотрение заявок и документов, представленных субъектами МСП, на предмет их комплектности и соответствия требованиям, установленным пунктом 5.3 настоящего Порядка, проверка субъектов МСП на соответствие требованиям, установленным пунктами 2.1-2.1.11, 2.2 настоящего Порядка, проверка оборудования, договоров приобретения оборудования, договоров лизинга оборудования на соответствие пунктам 1.3.5, 3.1, 4.1, 4.3 настоящего Порядка осуществляются Агентством каждые 3 рабочих дня со дня регистрации заявк...">
        <w:r>
          <w:rPr>
            <w:sz w:val="20"/>
            <w:color w:val="0000ff"/>
          </w:rPr>
          <w:t xml:space="preserve">пунктами 5.5</w:t>
        </w:r>
      </w:hyperlink>
      <w:r>
        <w:rPr>
          <w:sz w:val="20"/>
        </w:rPr>
        <w:t xml:space="preserve">, </w:t>
      </w:r>
      <w:hyperlink w:history="0" w:anchor="P311" w:tooltip="5.6. Агентство в течение 7 рабочих дней после дня окончания приема заявок и документов направляет протокол(-ы), указанный(-ые) в пункте 5.5 настоящего Порядка, и паспорта бизнес-проектов (инвестиционных проектов) субъектов МСП в бумажном виде и (или) по электронной почте в экспертную группу для оценки бизнес-проектов (инвестиционных проектов) по критериям оценки бизнес-проекта (инвестиционного проекта), указанным в приложении 5 к настоящему Порядку.">
        <w:r>
          <w:rPr>
            <w:sz w:val="20"/>
            <w:color w:val="0000ff"/>
          </w:rPr>
          <w:t xml:space="preserve">5.6</w:t>
        </w:r>
      </w:hyperlink>
      <w:r>
        <w:rPr>
          <w:sz w:val="20"/>
        </w:rPr>
        <w:t xml:space="preserve"> настоящего Порядка, правила оценки паспорта бизнес-проекта (инвестиционного проекта) субъектов МСП в соответствии с </w:t>
      </w:r>
      <w:hyperlink w:history="0" w:anchor="P315" w:tooltip="5.7-5.9. Утратили силу. - Постановление Правительства Пермского края от 30.03.2023 N 222-п.">
        <w:r>
          <w:rPr>
            <w:sz w:val="20"/>
            <w:color w:val="0000ff"/>
          </w:rPr>
          <w:t xml:space="preserve">пунктами 5.9</w:t>
        </w:r>
      </w:hyperlink>
      <w:r>
        <w:rPr>
          <w:sz w:val="20"/>
        </w:rPr>
        <w:t xml:space="preserve">-</w:t>
      </w:r>
      <w:hyperlink w:history="0" w:anchor="P329" w:tooltip="5.12. Агентство в течение 2 рабочих дней со дня оформления протокола заседания экспертной группы:">
        <w:r>
          <w:rPr>
            <w:sz w:val="20"/>
            <w:color w:val="0000ff"/>
          </w:rPr>
          <w:t xml:space="preserve">5.12</w:t>
        </w:r>
      </w:hyperlink>
      <w:r>
        <w:rPr>
          <w:sz w:val="20"/>
        </w:rPr>
        <w:t xml:space="preserve"> настоящего Порядка;</w:t>
      </w:r>
    </w:p>
    <w:p>
      <w:pPr>
        <w:pStyle w:val="0"/>
        <w:spacing w:before="200" w:line-rule="auto"/>
        <w:ind w:firstLine="540"/>
        <w:jc w:val="both"/>
      </w:pPr>
      <w:r>
        <w:rPr>
          <w:sz w:val="20"/>
        </w:rPr>
        <w:t xml:space="preserve">порядок предоставления субъектам МСП разъяснений положений объявления о проведении конкурса, даты начала и окончания срока такого предоставления;</w:t>
      </w:r>
    </w:p>
    <w:p>
      <w:pPr>
        <w:pStyle w:val="0"/>
        <w:jc w:val="both"/>
      </w:pPr>
      <w:r>
        <w:rPr>
          <w:sz w:val="20"/>
        </w:rPr>
        <w:t xml:space="preserve">(в ред. </w:t>
      </w:r>
      <w:hyperlink w:history="0" r:id="rId142" w:tooltip="Постановление Правительства Пермского края от 20.10.2021 N 79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20.10.2021 N 793-п)</w:t>
      </w:r>
    </w:p>
    <w:p>
      <w:pPr>
        <w:pStyle w:val="0"/>
        <w:spacing w:before="200" w:line-rule="auto"/>
        <w:ind w:firstLine="540"/>
        <w:jc w:val="both"/>
      </w:pPr>
      <w:r>
        <w:rPr>
          <w:sz w:val="20"/>
        </w:rPr>
        <w:t xml:space="preserve">срок, в течение которого победитель конкурса должен подписать Соглашение в соответствии с </w:t>
      </w:r>
      <w:hyperlink w:history="0" w:anchor="P399" w:tooltip="5.21. Субсидия предоставляется на основании соглашения о предоставлении субсидии (далее - Соглашение), заключенного между победителем конкурса (далее - получатель субсидии) и Агентством в соответствии с типовой формой, утвержденной Министерством финансов Пермского края.">
        <w:r>
          <w:rPr>
            <w:sz w:val="20"/>
            <w:color w:val="0000ff"/>
          </w:rPr>
          <w:t xml:space="preserve">пунктом 5.21</w:t>
        </w:r>
      </w:hyperlink>
      <w:r>
        <w:rPr>
          <w:sz w:val="20"/>
        </w:rPr>
        <w:t xml:space="preserve"> настоящего Порядка;</w:t>
      </w:r>
    </w:p>
    <w:p>
      <w:pPr>
        <w:pStyle w:val="0"/>
        <w:jc w:val="both"/>
      </w:pPr>
      <w:r>
        <w:rPr>
          <w:sz w:val="20"/>
        </w:rPr>
        <w:t xml:space="preserve">(в ред. </w:t>
      </w:r>
      <w:hyperlink w:history="0" r:id="rId143" w:tooltip="Постановление Правительства Пермского края от 20.10.2021 N 79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20.10.2021 N 793-п)</w:t>
      </w:r>
    </w:p>
    <w:p>
      <w:pPr>
        <w:pStyle w:val="0"/>
        <w:spacing w:before="200" w:line-rule="auto"/>
        <w:ind w:firstLine="540"/>
        <w:jc w:val="both"/>
      </w:pPr>
      <w:r>
        <w:rPr>
          <w:sz w:val="20"/>
        </w:rPr>
        <w:t xml:space="preserve">условия признания победителя конкурса уклонившимся от заключения Соглашения;</w:t>
      </w:r>
    </w:p>
    <w:p>
      <w:pPr>
        <w:pStyle w:val="0"/>
        <w:spacing w:before="200" w:line-rule="auto"/>
        <w:ind w:firstLine="540"/>
        <w:jc w:val="both"/>
      </w:pPr>
      <w:r>
        <w:rPr>
          <w:sz w:val="20"/>
        </w:rPr>
        <w:t xml:space="preserve">дату размещения результатов конкурса в информационно-телекоммуникационной сети "Интернет" на едином портале, на официальном сайте Агентства и на официальном сайте информационной поддержки субъектов МСП по адресу: www.msppk.ru, в соответствии с </w:t>
      </w:r>
      <w:hyperlink w:history="0" w:anchor="P373" w:tooltip="5.18. Агентство в течение 3 рабочих дней со дня оформления протокола комиссии по отбору публикует его в информационно-телекоммуникационной сети &quot;Интернет&quot; на едином портале, на официальном сайте Агентства, на официальном сайте информационной поддержки субъектов малого и среднего предпринимательства по адресу: www.msppk.ru.">
        <w:r>
          <w:rPr>
            <w:sz w:val="20"/>
            <w:color w:val="0000ff"/>
          </w:rPr>
          <w:t xml:space="preserve">пунктом 5.18</w:t>
        </w:r>
      </w:hyperlink>
      <w:r>
        <w:rPr>
          <w:sz w:val="20"/>
        </w:rPr>
        <w:t xml:space="preserve"> настоящего Порядка;</w:t>
      </w:r>
    </w:p>
    <w:p>
      <w:pPr>
        <w:pStyle w:val="0"/>
        <w:spacing w:before="200" w:line-rule="auto"/>
        <w:ind w:firstLine="540"/>
        <w:jc w:val="both"/>
      </w:pPr>
      <w:r>
        <w:rPr>
          <w:sz w:val="20"/>
        </w:rPr>
        <w:t xml:space="preserve">электронную почту Агентства, на которую необходимо направлять заявки и документы, при условии указания в объявлении об отборе приема заявки и документов от субъектов МСП в электронном виде.</w:t>
      </w:r>
    </w:p>
    <w:p>
      <w:pPr>
        <w:pStyle w:val="0"/>
        <w:jc w:val="both"/>
      </w:pPr>
      <w:r>
        <w:rPr>
          <w:sz w:val="20"/>
        </w:rPr>
        <w:t xml:space="preserve">(в ред. </w:t>
      </w:r>
      <w:hyperlink w:history="0" r:id="rId144"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30.03.2023 N 222-п)</w:t>
      </w:r>
    </w:p>
    <w:p>
      <w:pPr>
        <w:pStyle w:val="0"/>
        <w:spacing w:before="200" w:line-rule="auto"/>
        <w:ind w:firstLine="540"/>
        <w:jc w:val="both"/>
      </w:pPr>
      <w:r>
        <w:rPr>
          <w:sz w:val="20"/>
        </w:rPr>
        <w:t xml:space="preserve">5.2.1. При условии приема заявки и документов от субъектов МСП в электронном виде заявка и документы предоставляются на электронную почту, указанную в объявлении об отборе, в виде электронного образа документа (переведенной в электронную форму с помощью средств сканирования документа, изготовленного на бумажном носителе) в формате *pdf с последующим досылом на бумажном носителе с помощью почтовой или специальной связи.</w:t>
      </w:r>
    </w:p>
    <w:p>
      <w:pPr>
        <w:pStyle w:val="0"/>
        <w:jc w:val="both"/>
      </w:pPr>
      <w:r>
        <w:rPr>
          <w:sz w:val="20"/>
        </w:rPr>
        <w:t xml:space="preserve">(в ред. </w:t>
      </w:r>
      <w:hyperlink w:history="0" r:id="rId145" w:tooltip="Постановление Правительства Пермского края от 20.10.2021 N 79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20.10.2021 N 793-п)</w:t>
      </w:r>
    </w:p>
    <w:p>
      <w:pPr>
        <w:pStyle w:val="0"/>
        <w:spacing w:before="200" w:line-rule="auto"/>
        <w:ind w:firstLine="540"/>
        <w:jc w:val="both"/>
      </w:pPr>
      <w:r>
        <w:rPr>
          <w:sz w:val="20"/>
        </w:rPr>
        <w:t xml:space="preserve">В случае наличия нераспределенных бюджетных ассигнований, предусмотренных в сводной бюджетной росписи бюджета Пермского края на предоставление субсидий субъектам МСП в целях возмещения части затрат, связанных с осуществлением ими предпринимательской деятельности, на текущий финансовый год, Агентство вправе разместить в информационно-телекоммуникационной сети "Интернет" на едином портале, на официальном сайте Агентства и официальном сайте информационной поддержки субъектов малого и среднего предпринимательства по адресу: www.msppk.ru повторное объявление об отборе.</w:t>
      </w:r>
    </w:p>
    <w:p>
      <w:pPr>
        <w:pStyle w:val="0"/>
        <w:jc w:val="both"/>
      </w:pPr>
      <w:r>
        <w:rPr>
          <w:sz w:val="20"/>
        </w:rPr>
        <w:t xml:space="preserve">(п. 5.2.1 в ред. </w:t>
      </w:r>
      <w:hyperlink w:history="0" r:id="rId146" w:tooltip="Постановление Правительства Пермского края от 30.12.2020 N 1068-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30.12.2020 N 1068-п)</w:t>
      </w:r>
    </w:p>
    <w:p>
      <w:pPr>
        <w:pStyle w:val="0"/>
        <w:spacing w:before="200" w:line-rule="auto"/>
        <w:ind w:firstLine="540"/>
        <w:jc w:val="both"/>
      </w:pPr>
      <w:r>
        <w:rPr>
          <w:sz w:val="20"/>
        </w:rPr>
        <w:t xml:space="preserve">5.2.1.1. Субъект МСП вправе обратиться в Агентство за разъяснениями положений объявления об отборе. Разъяснения предоставляются в письменной и (или) устной форме по телефону и (или) при личном приеме.</w:t>
      </w:r>
    </w:p>
    <w:p>
      <w:pPr>
        <w:pStyle w:val="0"/>
        <w:spacing w:before="200" w:line-rule="auto"/>
        <w:ind w:firstLine="540"/>
        <w:jc w:val="both"/>
      </w:pPr>
      <w:r>
        <w:rPr>
          <w:sz w:val="20"/>
        </w:rPr>
        <w:t xml:space="preserve">Письменное обращение субъекта МСП направляется в Агентство, начиная с даты размещения объявления в информационно-телекоммуникационной сети "Интернет" на официальном сайте Агентства и не позднее чем за пять рабочих дней до окончания срока подачи заявок.</w:t>
      </w:r>
    </w:p>
    <w:p>
      <w:pPr>
        <w:pStyle w:val="0"/>
        <w:spacing w:before="200" w:line-rule="auto"/>
        <w:ind w:firstLine="540"/>
        <w:jc w:val="both"/>
      </w:pPr>
      <w:r>
        <w:rPr>
          <w:sz w:val="20"/>
        </w:rPr>
        <w:t xml:space="preserve">Агентство в течение двух рабочих дней с даты поступления обращения дает разъяснения по положениям, предусмотренным в объявлении об отборе, путем направления субъекту МСП письменного ответа.</w:t>
      </w:r>
    </w:p>
    <w:p>
      <w:pPr>
        <w:pStyle w:val="0"/>
        <w:jc w:val="both"/>
      </w:pPr>
      <w:r>
        <w:rPr>
          <w:sz w:val="20"/>
        </w:rPr>
        <w:t xml:space="preserve">(п. 5.2.1.1 введен </w:t>
      </w:r>
      <w:hyperlink w:history="0" r:id="rId147" w:tooltip="Постановление Правительства Пермского края от 30.12.2020 N 1068-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Постановлением</w:t>
        </w:r>
      </w:hyperlink>
      <w:r>
        <w:rPr>
          <w:sz w:val="20"/>
        </w:rPr>
        <w:t xml:space="preserve"> Правительства Пермского края от 30.12.2020 N 1068-п)</w:t>
      </w:r>
    </w:p>
    <w:p>
      <w:pPr>
        <w:pStyle w:val="0"/>
        <w:spacing w:before="200" w:line-rule="auto"/>
        <w:ind w:firstLine="540"/>
        <w:jc w:val="both"/>
      </w:pPr>
      <w:r>
        <w:rPr>
          <w:sz w:val="20"/>
        </w:rPr>
        <w:t xml:space="preserve">5.2.2. Для предоставления субсидий на возмещение части затрат, связанных с приобретением оборудования, субъект МСП предоставляет в Агентство заявку и документы в соответствии с </w:t>
      </w:r>
      <w:hyperlink w:history="0" w:anchor="P149" w:tooltip="3.4.2. заявку на получение субсидии по форме согласно приложению 1 к настоящему Порядку в 2 экземплярах;">
        <w:r>
          <w:rPr>
            <w:sz w:val="20"/>
            <w:color w:val="0000ff"/>
          </w:rPr>
          <w:t xml:space="preserve">пунктами 3.4.2</w:t>
        </w:r>
      </w:hyperlink>
      <w:r>
        <w:rPr>
          <w:sz w:val="20"/>
        </w:rPr>
        <w:t xml:space="preserve">-</w:t>
      </w:r>
      <w:hyperlink w:history="0" w:anchor="P165" w:tooltip="3.4.7. дополнительно представляются заверенные субъектом МСП копии:">
        <w:r>
          <w:rPr>
            <w:sz w:val="20"/>
            <w:color w:val="0000ff"/>
          </w:rPr>
          <w:t xml:space="preserve">3.4.7</w:t>
        </w:r>
      </w:hyperlink>
      <w:r>
        <w:rPr>
          <w:sz w:val="20"/>
        </w:rPr>
        <w:t xml:space="preserve"> настоящего Порядка в сроки, указанные в объявлении об отборе.</w:t>
      </w:r>
    </w:p>
    <w:p>
      <w:pPr>
        <w:pStyle w:val="0"/>
        <w:spacing w:before="200" w:line-rule="auto"/>
        <w:ind w:firstLine="540"/>
        <w:jc w:val="both"/>
      </w:pPr>
      <w:r>
        <w:rPr>
          <w:sz w:val="20"/>
        </w:rPr>
        <w:t xml:space="preserve">Для предоставления субсидии на возмещение части затрат, связанных с уплатой первого взноса (аванса) по договорам лизинга оборудования, субъект МСП представляет в Агентство заявку и документы в соответствии с </w:t>
      </w:r>
      <w:hyperlink w:history="0" w:anchor="P204" w:tooltip="4.5.2. заявку на получение субсидии по форме согласно приложению 1 к настоящему Порядку в 2 экземплярах;">
        <w:r>
          <w:rPr>
            <w:sz w:val="20"/>
            <w:color w:val="0000ff"/>
          </w:rPr>
          <w:t xml:space="preserve">пунктами 4.5.2</w:t>
        </w:r>
      </w:hyperlink>
      <w:r>
        <w:rPr>
          <w:sz w:val="20"/>
        </w:rPr>
        <w:t xml:space="preserve">-</w:t>
      </w:r>
      <w:hyperlink w:history="0" w:anchor="P220" w:tooltip="4.5.9. дополнительно представляются заверенные субъектом МСП копии:">
        <w:r>
          <w:rPr>
            <w:sz w:val="20"/>
            <w:color w:val="0000ff"/>
          </w:rPr>
          <w:t xml:space="preserve">4.5.9</w:t>
        </w:r>
      </w:hyperlink>
      <w:r>
        <w:rPr>
          <w:sz w:val="20"/>
        </w:rPr>
        <w:t xml:space="preserve"> настоящего Порядка в сроки, указанные в объявлении об отборе.</w:t>
      </w:r>
    </w:p>
    <w:p>
      <w:pPr>
        <w:pStyle w:val="0"/>
        <w:jc w:val="both"/>
      </w:pPr>
      <w:r>
        <w:rPr>
          <w:sz w:val="20"/>
        </w:rPr>
        <w:t xml:space="preserve">(п. 5.2.2 в ред. </w:t>
      </w:r>
      <w:hyperlink w:history="0" r:id="rId148" w:tooltip="Постановление Правительства Пермского края от 30.12.2020 N 1068-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30.12.2020 N 1068-п)</w:t>
      </w:r>
    </w:p>
    <w:bookmarkStart w:id="274" w:name="P274"/>
    <w:bookmarkEnd w:id="274"/>
    <w:p>
      <w:pPr>
        <w:pStyle w:val="0"/>
        <w:spacing w:before="200" w:line-rule="auto"/>
        <w:ind w:firstLine="540"/>
        <w:jc w:val="both"/>
      </w:pPr>
      <w:r>
        <w:rPr>
          <w:sz w:val="20"/>
        </w:rPr>
        <w:t xml:space="preserve">5.3. Представленные документы должны быть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 скан-копии документов должны быть читаемы.</w:t>
      </w:r>
    </w:p>
    <w:p>
      <w:pPr>
        <w:pStyle w:val="0"/>
        <w:jc w:val="both"/>
      </w:pPr>
      <w:r>
        <w:rPr>
          <w:sz w:val="20"/>
        </w:rPr>
        <w:t xml:space="preserve">(в ред. </w:t>
      </w:r>
      <w:hyperlink w:history="0" r:id="rId149" w:tooltip="Постановление Правительства Пермского края от 30.12.2020 N 1068-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30.12.2020 N 1068-п)</w:t>
      </w:r>
    </w:p>
    <w:p>
      <w:pPr>
        <w:pStyle w:val="0"/>
        <w:spacing w:before="200" w:line-rule="auto"/>
        <w:ind w:firstLine="540"/>
        <w:jc w:val="both"/>
      </w:pPr>
      <w:r>
        <w:rPr>
          <w:sz w:val="20"/>
        </w:rPr>
        <w:t xml:space="preserve">Копии документов должны быть заверены подписью руководителя субъекта МСП или иного уполномоченного лица (с приложением документов, подтверждающих его полномочия в соответствии с законодательством), оттиском печати субъекта МСП (при наличии печати).</w:t>
      </w:r>
    </w:p>
    <w:p>
      <w:pPr>
        <w:pStyle w:val="0"/>
        <w:spacing w:before="200" w:line-rule="auto"/>
        <w:ind w:firstLine="540"/>
        <w:jc w:val="both"/>
      </w:pPr>
      <w:r>
        <w:rPr>
          <w:sz w:val="20"/>
        </w:rPr>
        <w:t xml:space="preserve">Документы, представленные на бумажном носителе, должны быть прошиты, пронумерованы и скреплены оттиском печати субъекта МСП (при наличии).</w:t>
      </w:r>
    </w:p>
    <w:p>
      <w:pPr>
        <w:pStyle w:val="0"/>
        <w:jc w:val="both"/>
      </w:pPr>
      <w:r>
        <w:rPr>
          <w:sz w:val="20"/>
        </w:rPr>
        <w:t xml:space="preserve">(в ред. </w:t>
      </w:r>
      <w:hyperlink w:history="0" r:id="rId150" w:tooltip="Постановление Правительства Пермского края от 30.12.2020 N 1068-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30.12.2020 N 1068-п)</w:t>
      </w:r>
    </w:p>
    <w:bookmarkStart w:id="279" w:name="P279"/>
    <w:bookmarkEnd w:id="279"/>
    <w:p>
      <w:pPr>
        <w:pStyle w:val="0"/>
        <w:spacing w:before="200" w:line-rule="auto"/>
        <w:ind w:firstLine="540"/>
        <w:jc w:val="both"/>
      </w:pPr>
      <w:r>
        <w:rPr>
          <w:sz w:val="20"/>
        </w:rPr>
        <w:t xml:space="preserve">5.4. Абзац утратил силу. - </w:t>
      </w:r>
      <w:hyperlink w:history="0" r:id="rId151" w:tooltip="Постановление Правительства Пермского края от 07.04.2022 N 285-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w:t>
        </w:r>
      </w:hyperlink>
      <w:r>
        <w:rPr>
          <w:sz w:val="20"/>
        </w:rPr>
        <w:t xml:space="preserve"> Правительства Пермского края от 07.04.2022 N 285-п.</w:t>
      </w:r>
    </w:p>
    <w:bookmarkStart w:id="280" w:name="P280"/>
    <w:bookmarkEnd w:id="280"/>
    <w:p>
      <w:pPr>
        <w:pStyle w:val="0"/>
        <w:spacing w:before="200" w:line-rule="auto"/>
        <w:ind w:firstLine="540"/>
        <w:jc w:val="both"/>
      </w:pPr>
      <w:r>
        <w:rPr>
          <w:sz w:val="20"/>
        </w:rPr>
        <w:t xml:space="preserve">Агентство осуществляет прием и регистрацию заявок и документов, представленных субъектами МСП, в порядке поступления с присвоением порядкового номера в журнале регистрации заявок на участие в конкурсе (далее - Журнал), который должен быть пронумерован, прошнурован и скреплен оттиском печати Агентства. Запись в Журнале должна содержать регистрационный номер поступивших заявки и документов, дату и время (часы и минуты) их приема, сведения о лице, представившем заявку и документы. Регистрация документов производится в день их поступления в Агентство.</w:t>
      </w:r>
    </w:p>
    <w:p>
      <w:pPr>
        <w:pStyle w:val="0"/>
        <w:spacing w:before="200" w:line-rule="auto"/>
        <w:ind w:firstLine="540"/>
        <w:jc w:val="both"/>
      </w:pPr>
      <w:r>
        <w:rPr>
          <w:sz w:val="20"/>
        </w:rPr>
        <w:t xml:space="preserve">Подтверждением приема заявки и документов является подпись ответственного лица Агентства, принявшего заявку, с указанием даты и времени приема заявки и документов на втором экземпляре заявки, которая возвращается субъекту МСП.</w:t>
      </w:r>
    </w:p>
    <w:p>
      <w:pPr>
        <w:pStyle w:val="0"/>
        <w:spacing w:before="200" w:line-rule="auto"/>
        <w:ind w:firstLine="540"/>
        <w:jc w:val="both"/>
      </w:pPr>
      <w:r>
        <w:rPr>
          <w:sz w:val="20"/>
        </w:rPr>
        <w:t xml:space="preserve">В случае приема заявки и документов в электронном виде Агентство осуществляет прием и регистрацию заявок и документов, представленных субъектами МСП, в порядке поступления на адрес электронной почты, указанной в объявлении об отборе, с присвоением порядкового номера в Журнале, который должен быть пронумерован, прошнурован и скреплен оттиском печати Агентства в соответствии с </w:t>
      </w:r>
      <w:hyperlink w:history="0" w:anchor="P280" w:tooltip="Агентство осуществляет прием и регистрацию заявок и документов, представленных субъектами МСП, в порядке поступления с присвоением порядкового номера в журнале регистрации заявок на участие в конкурсе (далее - Журнал), который должен быть пронумерован, прошнурован и скреплен оттиском печати Агентства. Запись в Журнале должна содержать регистрационный номер поступивших заявки и документов, дату и время (часы и минуты) их приема, сведения о лице, представившем заявку и документы. Регистрация документов про...">
        <w:r>
          <w:rPr>
            <w:sz w:val="20"/>
            <w:color w:val="0000ff"/>
          </w:rPr>
          <w:t xml:space="preserve">абзацем вторым</w:t>
        </w:r>
      </w:hyperlink>
      <w:r>
        <w:rPr>
          <w:sz w:val="20"/>
        </w:rPr>
        <w:t xml:space="preserve"> настоящего пункта.</w:t>
      </w:r>
    </w:p>
    <w:p>
      <w:pPr>
        <w:pStyle w:val="0"/>
        <w:jc w:val="both"/>
      </w:pPr>
      <w:r>
        <w:rPr>
          <w:sz w:val="20"/>
        </w:rPr>
        <w:t xml:space="preserve">(абзац введен </w:t>
      </w:r>
      <w:hyperlink w:history="0" r:id="rId152" w:tooltip="Постановление Правительства Пермского края от 30.12.2020 N 1068-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Постановлением</w:t>
        </w:r>
      </w:hyperlink>
      <w:r>
        <w:rPr>
          <w:sz w:val="20"/>
        </w:rPr>
        <w:t xml:space="preserve"> Правительства Пермского края от 30.12.2020 N 1068-п)</w:t>
      </w:r>
    </w:p>
    <w:p>
      <w:pPr>
        <w:pStyle w:val="0"/>
        <w:jc w:val="both"/>
      </w:pPr>
      <w:r>
        <w:rPr>
          <w:sz w:val="20"/>
        </w:rPr>
        <w:t xml:space="preserve">(п. 5.4 в ред. </w:t>
      </w:r>
      <w:hyperlink w:history="0" r:id="rId153" w:tooltip="Постановление Правительства Пермского края от 16.09.2020 N 688-п &quot;О внесении изменений в отдельные постановления Правительства Пермского края по вопросам развития малого и среднего предпринимательства&quot; {КонсультантПлюс}">
        <w:r>
          <w:rPr>
            <w:sz w:val="20"/>
            <w:color w:val="0000ff"/>
          </w:rPr>
          <w:t xml:space="preserve">Постановления</w:t>
        </w:r>
      </w:hyperlink>
      <w:r>
        <w:rPr>
          <w:sz w:val="20"/>
        </w:rPr>
        <w:t xml:space="preserve"> Правительства Пермского края от 16.09.2020 N 688-п)</w:t>
      </w:r>
    </w:p>
    <w:bookmarkStart w:id="285" w:name="P285"/>
    <w:bookmarkEnd w:id="285"/>
    <w:p>
      <w:pPr>
        <w:pStyle w:val="0"/>
        <w:spacing w:before="200" w:line-rule="auto"/>
        <w:ind w:firstLine="540"/>
        <w:jc w:val="both"/>
      </w:pPr>
      <w:r>
        <w:rPr>
          <w:sz w:val="20"/>
        </w:rPr>
        <w:t xml:space="preserve">5.5. Рассмотрение заявок и документов, представленных субъектами МСП, на предмет их комплектности и соответствия требованиям, установленным </w:t>
      </w:r>
      <w:hyperlink w:history="0" w:anchor="P274" w:tooltip="5.3. Представленные документы должны быть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 скан-копии документов должны быть читаемы.">
        <w:r>
          <w:rPr>
            <w:sz w:val="20"/>
            <w:color w:val="0000ff"/>
          </w:rPr>
          <w:t xml:space="preserve">пунктом 5.3</w:t>
        </w:r>
      </w:hyperlink>
      <w:r>
        <w:rPr>
          <w:sz w:val="20"/>
        </w:rPr>
        <w:t xml:space="preserve"> настоящего Порядка, проверка субъектов МСП на соответствие требованиям, установленным </w:t>
      </w:r>
      <w:hyperlink w:history="0" w:anchor="P94" w:tooltip="2.1. Субсидии предоставляются субъектам МСП:">
        <w:r>
          <w:rPr>
            <w:sz w:val="20"/>
            <w:color w:val="0000ff"/>
          </w:rPr>
          <w:t xml:space="preserve">пунктами 2.1</w:t>
        </w:r>
      </w:hyperlink>
      <w:r>
        <w:rPr>
          <w:sz w:val="20"/>
        </w:rPr>
        <w:t xml:space="preserve">-</w:t>
      </w:r>
      <w:hyperlink w:history="0" w:anchor="P120" w:tooltip="2.1.11. не признавался совершившим нарушение порядка и условий оказания поддержки в течение года, за исключением случая более раннего устранения субъектом МСП такого нарушения при условии соблюдения им срока устранения такого нарушения, установленного Агентством,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не признавался совершившим такое нарушение в течение трех лет.">
        <w:r>
          <w:rPr>
            <w:sz w:val="20"/>
            <w:color w:val="0000ff"/>
          </w:rPr>
          <w:t xml:space="preserve">2.1.11</w:t>
        </w:r>
      </w:hyperlink>
      <w:r>
        <w:rPr>
          <w:sz w:val="20"/>
        </w:rPr>
        <w:t xml:space="preserve">, </w:t>
      </w:r>
      <w:hyperlink w:history="0" w:anchor="P122" w:tooltip="2.2. В предоставлении субсидий должно быть отказано в случае, если ранее в отношении субъекта МСП было принято решение об оказании аналогичной государственной поддержки (государственной поддержки, условия оказания которой совпадают, включая форму, вид поддержки и цели ее оказания, с формой, видами и целями предоставления субсидий, установленными настоящим Порядком) и сроки ее оказания не истекли.">
        <w:r>
          <w:rPr>
            <w:sz w:val="20"/>
            <w:color w:val="0000ff"/>
          </w:rPr>
          <w:t xml:space="preserve">2.2</w:t>
        </w:r>
      </w:hyperlink>
      <w:r>
        <w:rPr>
          <w:sz w:val="20"/>
        </w:rPr>
        <w:t xml:space="preserve"> настоящего Порядка, проверка оборудования, договоров приобретения оборудования, договоров лизинга оборудования на соответствие </w:t>
      </w:r>
      <w:hyperlink w:history="0" w:anchor="P63" w:tooltip="1.3.5. оборудование - основное средство первоначальной стоимостью более 40000 рублей, под которым в целях настоящего Порядка понимаются оборудование, устройства, механизмы, станки, приборы, аппараты, агрегаты, установки, машины, транспортное средство, относящиеся к третьей - десятой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1 января 2002 г. N 1 &quot;О Классификации основных средств, включаемых...">
        <w:r>
          <w:rPr>
            <w:sz w:val="20"/>
            <w:color w:val="0000ff"/>
          </w:rPr>
          <w:t xml:space="preserve">пунктам 1.3.5</w:t>
        </w:r>
      </w:hyperlink>
      <w:r>
        <w:rPr>
          <w:sz w:val="20"/>
        </w:rPr>
        <w:t xml:space="preserve">, </w:t>
      </w:r>
      <w:hyperlink w:history="0" w:anchor="P127" w:tooltip="3.1. Субсидии на возмещение части затрат, связанных с приобретением оборудования, предоставляются по договорам приобретения нового и полнокомплектного оборудования и его монтажа, заключенным не ранее чем 1 января за три года, предшествующих году проведения конкурсного отбора.">
        <w:r>
          <w:rPr>
            <w:sz w:val="20"/>
            <w:color w:val="0000ff"/>
          </w:rPr>
          <w:t xml:space="preserve">3.1</w:t>
        </w:r>
      </w:hyperlink>
      <w:r>
        <w:rPr>
          <w:sz w:val="20"/>
        </w:rPr>
        <w:t xml:space="preserve">, </w:t>
      </w:r>
      <w:hyperlink w:history="0" w:anchor="P177" w:tooltip="4.1. Субсидии на возмещение части затрат, связанных с уплатой первого взноса (аванса) по договорам лизинга оборудования, предоставляются субъектам МСП по договорам лизинга оборудования, заключенным не ранее чем 1 января за три года, предшествующих году проведения конкурсного отбора.">
        <w:r>
          <w:rPr>
            <w:sz w:val="20"/>
            <w:color w:val="0000ff"/>
          </w:rPr>
          <w:t xml:space="preserve">4.1</w:t>
        </w:r>
      </w:hyperlink>
      <w:r>
        <w:rPr>
          <w:sz w:val="20"/>
        </w:rPr>
        <w:t xml:space="preserve">, </w:t>
      </w:r>
      <w:hyperlink w:history="0" w:anchor="P193" w:tooltip="4.3. Субсидии на возмещение части затрат, связанных с уплатой первого взноса (аванса) по договорам лизинга оборудования, предоставляются по договорам лизинга оборудования, соответствующим следующим требованиям:">
        <w:r>
          <w:rPr>
            <w:sz w:val="20"/>
            <w:color w:val="0000ff"/>
          </w:rPr>
          <w:t xml:space="preserve">4.3</w:t>
        </w:r>
      </w:hyperlink>
      <w:r>
        <w:rPr>
          <w:sz w:val="20"/>
        </w:rPr>
        <w:t xml:space="preserve"> настоящего Порядка осуществляются Агентством каждые 3 рабочих дня со дня регистрации заявки и документов в Журнале. При запросе документов в рамках межведомственного информационного взаимодействия срок рассмотрения заявок и документов, представленных субъектами МСП, увеличивается на срок получения ответа от соответствующих органов.</w:t>
      </w:r>
    </w:p>
    <w:p>
      <w:pPr>
        <w:pStyle w:val="0"/>
        <w:jc w:val="both"/>
      </w:pPr>
      <w:r>
        <w:rPr>
          <w:sz w:val="20"/>
        </w:rPr>
        <w:t xml:space="preserve">(в ред. Постановлений Правительства Пермского края от 24.12.2019 </w:t>
      </w:r>
      <w:hyperlink w:history="0" r:id="rId154" w:tooltip="Постановление Правительства Пермского края от 24.12.2019 N 980-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980-п</w:t>
        </w:r>
      </w:hyperlink>
      <w:r>
        <w:rPr>
          <w:sz w:val="20"/>
        </w:rPr>
        <w:t xml:space="preserve">, от 16.09.2020 </w:t>
      </w:r>
      <w:hyperlink w:history="0" r:id="rId155" w:tooltip="Постановление Правительства Пермского края от 16.09.2020 N 688-п &quot;О внесении изменений в отдельные постановления Правительства Пермского края по вопросам развития малого и среднего предпринимательства&quot; {КонсультантПлюс}">
        <w:r>
          <w:rPr>
            <w:sz w:val="20"/>
            <w:color w:val="0000ff"/>
          </w:rPr>
          <w:t xml:space="preserve">N 688-п</w:t>
        </w:r>
      </w:hyperlink>
      <w:r>
        <w:rPr>
          <w:sz w:val="20"/>
        </w:rPr>
        <w:t xml:space="preserve">, от 20.10.2021 </w:t>
      </w:r>
      <w:hyperlink w:history="0" r:id="rId156" w:tooltip="Постановление Правительства Пермского края от 20.10.2021 N 79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793-п</w:t>
        </w:r>
      </w:hyperlink>
      <w:r>
        <w:rPr>
          <w:sz w:val="20"/>
        </w:rPr>
        <w:t xml:space="preserve">, от 30.03.2023 </w:t>
      </w:r>
      <w:hyperlink w:history="0" r:id="rId157"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222-п</w:t>
        </w:r>
      </w:hyperlink>
      <w:r>
        <w:rPr>
          <w:sz w:val="20"/>
        </w:rPr>
        <w:t xml:space="preserve">)</w:t>
      </w:r>
    </w:p>
    <w:p>
      <w:pPr>
        <w:pStyle w:val="0"/>
        <w:spacing w:before="200" w:line-rule="auto"/>
        <w:ind w:firstLine="540"/>
        <w:jc w:val="both"/>
      </w:pPr>
      <w:r>
        <w:rPr>
          <w:sz w:val="20"/>
        </w:rPr>
        <w:t xml:space="preserve">Основаниями для отклонения заявки и документов субъекта МСП на стадии рассмотрения являются:</w:t>
      </w:r>
    </w:p>
    <w:p>
      <w:pPr>
        <w:pStyle w:val="0"/>
        <w:spacing w:before="200" w:line-rule="auto"/>
        <w:ind w:firstLine="540"/>
        <w:jc w:val="both"/>
      </w:pPr>
      <w:r>
        <w:rPr>
          <w:sz w:val="20"/>
        </w:rPr>
        <w:t xml:space="preserve">несоответствие субъекта МСП требованиям, установленным </w:t>
      </w:r>
      <w:hyperlink w:history="0" w:anchor="P94" w:tooltip="2.1. Субсидии предоставляются субъектам МСП:">
        <w:r>
          <w:rPr>
            <w:sz w:val="20"/>
            <w:color w:val="0000ff"/>
          </w:rPr>
          <w:t xml:space="preserve">пунктами 2.1</w:t>
        </w:r>
      </w:hyperlink>
      <w:r>
        <w:rPr>
          <w:sz w:val="20"/>
        </w:rPr>
        <w:t xml:space="preserve">-</w:t>
      </w:r>
      <w:hyperlink w:history="0" w:anchor="P120" w:tooltip="2.1.11. не признавался совершившим нарушение порядка и условий оказания поддержки в течение года, за исключением случая более раннего устранения субъектом МСП такого нарушения при условии соблюдения им срока устранения такого нарушения, установленного Агентством,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не признавался совершившим такое нарушение в течение трех лет.">
        <w:r>
          <w:rPr>
            <w:sz w:val="20"/>
            <w:color w:val="0000ff"/>
          </w:rPr>
          <w:t xml:space="preserve">2.1.11</w:t>
        </w:r>
      </w:hyperlink>
      <w:r>
        <w:rPr>
          <w:sz w:val="20"/>
        </w:rPr>
        <w:t xml:space="preserve">, </w:t>
      </w:r>
      <w:hyperlink w:history="0" w:anchor="P122" w:tooltip="2.2. В предоставлении субсидий должно быть отказано в случае, если ранее в отношении субъекта МСП было принято решение об оказании аналогичной государственной поддержки (государственной поддержки, условия оказания которой совпадают, включая форму, вид поддержки и цели ее оказания, с формой, видами и целями предоставления субсидий, установленными настоящим Порядком) и сроки ее оказания не истекли.">
        <w:r>
          <w:rPr>
            <w:sz w:val="20"/>
            <w:color w:val="0000ff"/>
          </w:rPr>
          <w:t xml:space="preserve">2.2</w:t>
        </w:r>
      </w:hyperlink>
      <w:r>
        <w:rPr>
          <w:sz w:val="20"/>
        </w:rPr>
        <w:t xml:space="preserve"> настоящего Порядка;</w:t>
      </w:r>
    </w:p>
    <w:p>
      <w:pPr>
        <w:pStyle w:val="0"/>
        <w:spacing w:before="200" w:line-rule="auto"/>
        <w:ind w:firstLine="540"/>
        <w:jc w:val="both"/>
      </w:pPr>
      <w:r>
        <w:rPr>
          <w:sz w:val="20"/>
        </w:rPr>
        <w:t xml:space="preserve">несоответствие оборудования, договоров приобретения оборудования, договоров лизинга оборудования </w:t>
      </w:r>
      <w:hyperlink w:history="0" w:anchor="P63" w:tooltip="1.3.5. оборудование - основное средство первоначальной стоимостью более 40000 рублей, под которым в целях настоящего Порядка понимаются оборудование, устройства, механизмы, станки, приборы, аппараты, агрегаты, установки, машины, транспортное средство, относящиеся к третьей - десятой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1 января 2002 г. N 1 &quot;О Классификации основных средств, включаемых...">
        <w:r>
          <w:rPr>
            <w:sz w:val="20"/>
            <w:color w:val="0000ff"/>
          </w:rPr>
          <w:t xml:space="preserve">пунктам 1.3.5</w:t>
        </w:r>
      </w:hyperlink>
      <w:r>
        <w:rPr>
          <w:sz w:val="20"/>
        </w:rPr>
        <w:t xml:space="preserve">, </w:t>
      </w:r>
      <w:hyperlink w:history="0" w:anchor="P127" w:tooltip="3.1. Субсидии на возмещение части затрат, связанных с приобретением оборудования, предоставляются по договорам приобретения нового и полнокомплектного оборудования и его монтажа, заключенным не ранее чем 1 января за три года, предшествующих году проведения конкурсного отбора.">
        <w:r>
          <w:rPr>
            <w:sz w:val="20"/>
            <w:color w:val="0000ff"/>
          </w:rPr>
          <w:t xml:space="preserve">3.1</w:t>
        </w:r>
      </w:hyperlink>
      <w:r>
        <w:rPr>
          <w:sz w:val="20"/>
        </w:rPr>
        <w:t xml:space="preserve">, </w:t>
      </w:r>
      <w:hyperlink w:history="0" w:anchor="P177" w:tooltip="4.1. Субсидии на возмещение части затрат, связанных с уплатой первого взноса (аванса) по договорам лизинга оборудования, предоставляются субъектам МСП по договорам лизинга оборудования, заключенным не ранее чем 1 января за три года, предшествующих году проведения конкурсного отбора.">
        <w:r>
          <w:rPr>
            <w:sz w:val="20"/>
            <w:color w:val="0000ff"/>
          </w:rPr>
          <w:t xml:space="preserve">4.1</w:t>
        </w:r>
      </w:hyperlink>
      <w:r>
        <w:rPr>
          <w:sz w:val="20"/>
        </w:rPr>
        <w:t xml:space="preserve">, </w:t>
      </w:r>
      <w:hyperlink w:history="0" w:anchor="P193" w:tooltip="4.3. Субсидии на возмещение части затрат, связанных с уплатой первого взноса (аванса) по договорам лизинга оборудования, предоставляются по договорам лизинга оборудования, соответствующим следующим требованиям:">
        <w:r>
          <w:rPr>
            <w:sz w:val="20"/>
            <w:color w:val="0000ff"/>
          </w:rPr>
          <w:t xml:space="preserve">4.3</w:t>
        </w:r>
      </w:hyperlink>
      <w:r>
        <w:rPr>
          <w:sz w:val="20"/>
        </w:rPr>
        <w:t xml:space="preserve"> настоящего Порядка;</w:t>
      </w:r>
    </w:p>
    <w:p>
      <w:pPr>
        <w:pStyle w:val="0"/>
        <w:spacing w:before="200" w:line-rule="auto"/>
        <w:ind w:firstLine="540"/>
        <w:jc w:val="both"/>
      </w:pPr>
      <w:r>
        <w:rPr>
          <w:sz w:val="20"/>
        </w:rPr>
        <w:t xml:space="preserve">несоответствие представленных субъектом МСП заявки и документов требованиям к заявке и документам, установленным в объявлении об отборе;</w:t>
      </w:r>
    </w:p>
    <w:p>
      <w:pPr>
        <w:pStyle w:val="0"/>
        <w:spacing w:before="200" w:line-rule="auto"/>
        <w:ind w:firstLine="540"/>
        <w:jc w:val="both"/>
      </w:pPr>
      <w:r>
        <w:rPr>
          <w:sz w:val="20"/>
        </w:rPr>
        <w:t xml:space="preserve">недостоверность представленной субъектом МСП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подача субъектом МСП заявки и документов позднее дня и времени окончания приема заявок и документов для участия в отборе, указанного в объявлении об отборе.</w:t>
      </w:r>
    </w:p>
    <w:p>
      <w:pPr>
        <w:pStyle w:val="0"/>
        <w:jc w:val="both"/>
      </w:pPr>
      <w:r>
        <w:rPr>
          <w:sz w:val="20"/>
        </w:rPr>
        <w:t xml:space="preserve">(введено </w:t>
      </w:r>
      <w:hyperlink w:history="0" r:id="rId158" w:tooltip="Постановление Правительства Пермского края от 30.12.2020 N 1068-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Постановлением</w:t>
        </w:r>
      </w:hyperlink>
      <w:r>
        <w:rPr>
          <w:sz w:val="20"/>
        </w:rPr>
        <w:t xml:space="preserve"> Правительства Пермского края от 30.12.2020 N 1068-п; в ред. </w:t>
      </w:r>
      <w:hyperlink w:history="0" r:id="rId159" w:tooltip="Постановление Правительства Пермского края от 20.10.2021 N 79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20.10.2021 N 793-п)</w:t>
      </w:r>
    </w:p>
    <w:bookmarkStart w:id="294" w:name="P294"/>
    <w:bookmarkEnd w:id="294"/>
    <w:p>
      <w:pPr>
        <w:pStyle w:val="0"/>
        <w:spacing w:before="200" w:line-rule="auto"/>
        <w:ind w:firstLine="540"/>
        <w:jc w:val="both"/>
      </w:pPr>
      <w:r>
        <w:rPr>
          <w:sz w:val="20"/>
        </w:rPr>
        <w:t xml:space="preserve">несоответствие условию(-ям), установленному(-ым) </w:t>
      </w:r>
      <w:hyperlink w:history="0" w:anchor="P142" w:tooltip="3.2.8. затраты, предъявленные к возмещению, понесены непосредственно субъектом МСП - участником конкурсного отбора.">
        <w:r>
          <w:rPr>
            <w:sz w:val="20"/>
            <w:color w:val="0000ff"/>
          </w:rPr>
          <w:t xml:space="preserve">пунктом(-ами) 3.2.8</w:t>
        </w:r>
      </w:hyperlink>
      <w:r>
        <w:rPr>
          <w:sz w:val="20"/>
        </w:rPr>
        <w:t xml:space="preserve">, </w:t>
      </w:r>
      <w:hyperlink w:history="0" w:anchor="P144" w:tooltip="3.3. Субсидии на возмещение части затрат, связанных с приобретением оборудования, предоставляются единовременно в размере, указанном в паспорте бизнес-проекта (инвестиционного проекта) субъекта МСП, представляемого субъектом МСП, но не более 50% произведенных затрат, не более 5 млн рублей и не более чем один раз в три года.">
        <w:r>
          <w:rPr>
            <w:sz w:val="20"/>
            <w:color w:val="0000ff"/>
          </w:rPr>
          <w:t xml:space="preserve">3.3</w:t>
        </w:r>
      </w:hyperlink>
      <w:r>
        <w:rPr>
          <w:sz w:val="20"/>
        </w:rPr>
        <w:t xml:space="preserve">, </w:t>
      </w:r>
      <w:hyperlink w:history="0" w:anchor="P191" w:tooltip="4.2.8. затраты, связанные с оплатой первого взноса (аванса) лизинга, осуществлены непосредственно субъектом МСП - участником конкурсного отбора.">
        <w:r>
          <w:rPr>
            <w:sz w:val="20"/>
            <w:color w:val="0000ff"/>
          </w:rPr>
          <w:t xml:space="preserve">4.2.8</w:t>
        </w:r>
      </w:hyperlink>
      <w:r>
        <w:rPr>
          <w:sz w:val="20"/>
        </w:rPr>
        <w:t xml:space="preserve">, </w:t>
      </w:r>
      <w:hyperlink w:history="0" w:anchor="P199" w:tooltip="4.4. Субсидии на возмещение части затрат, связанных с уплатой первого взноса (аванса) по договорам лизинга оборудования, предоставляются единовременно в размере, указанном в паспорте бизнес-проекта (инвестиционного проекта) субъекта МСП, представляемого субъектом МСП, но не более 100% произведенных затрат, включая затраты на монтаж оборудования, не более 5 млн рублей и не более чем один раз в три года.">
        <w:r>
          <w:rPr>
            <w:sz w:val="20"/>
            <w:color w:val="0000ff"/>
          </w:rPr>
          <w:t xml:space="preserve">4.4</w:t>
        </w:r>
      </w:hyperlink>
      <w:r>
        <w:rPr>
          <w:sz w:val="20"/>
        </w:rPr>
        <w:t xml:space="preserve"> и </w:t>
      </w:r>
      <w:hyperlink w:history="0" w:anchor="P226" w:tooltip="IV(1). Особенности предоставления субсидий по двум">
        <w:r>
          <w:rPr>
            <w:sz w:val="20"/>
            <w:color w:val="0000ff"/>
          </w:rPr>
          <w:t xml:space="preserve">разделом IV(1)</w:t>
        </w:r>
      </w:hyperlink>
      <w:r>
        <w:rPr>
          <w:sz w:val="20"/>
        </w:rPr>
        <w:t xml:space="preserve"> настоящего Порядка.</w:t>
      </w:r>
    </w:p>
    <w:p>
      <w:pPr>
        <w:pStyle w:val="0"/>
        <w:jc w:val="both"/>
      </w:pPr>
      <w:r>
        <w:rPr>
          <w:sz w:val="20"/>
        </w:rPr>
        <w:t xml:space="preserve">(в ред. </w:t>
      </w:r>
      <w:hyperlink w:history="0" r:id="rId160"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30.03.2023 N 222-п)</w:t>
      </w:r>
    </w:p>
    <w:p>
      <w:pPr>
        <w:pStyle w:val="0"/>
        <w:spacing w:before="200" w:line-rule="auto"/>
        <w:ind w:firstLine="540"/>
        <w:jc w:val="both"/>
      </w:pPr>
      <w:r>
        <w:rPr>
          <w:sz w:val="20"/>
        </w:rPr>
        <w:t xml:space="preserve">По результатам рассмотрения заявок и документов, представленных субъектами МСП, Агентство в течение 3 рабочих дней со дня окончания срока рассмотрения заявок и документов, указанного в </w:t>
      </w:r>
      <w:hyperlink w:history="0" w:anchor="P285" w:tooltip="5.5. Рассмотрение заявок и документов, представленных субъектами МСП, на предмет их комплектности и соответствия требованиям, установленным пунктом 5.3 настоящего Порядка, проверка субъектов МСП на соответствие требованиям, установленным пунктами 2.1-2.1.11, 2.2 настоящего Порядка, проверка оборудования, договоров приобретения оборудования, договоров лизинга оборудования на соответствие пунктам 1.3.5, 3.1, 4.1, 4.3 настоящего Порядка осуществляются Агентством каждые 3 рабочих дня со дня регистрации заявк...">
        <w:r>
          <w:rPr>
            <w:sz w:val="20"/>
            <w:color w:val="0000ff"/>
          </w:rPr>
          <w:t xml:space="preserve">пункте 5.5</w:t>
        </w:r>
      </w:hyperlink>
      <w:r>
        <w:rPr>
          <w:sz w:val="20"/>
        </w:rPr>
        <w:t xml:space="preserve"> настоящего Порядка:</w:t>
      </w:r>
    </w:p>
    <w:p>
      <w:pPr>
        <w:pStyle w:val="0"/>
        <w:spacing w:before="200" w:line-rule="auto"/>
        <w:ind w:firstLine="540"/>
        <w:jc w:val="both"/>
      </w:pPr>
      <w:r>
        <w:rPr>
          <w:sz w:val="20"/>
        </w:rPr>
        <w:t xml:space="preserve">составляет протокол, содержащий информацию о субъектах МСП, соответствующих требованиям, установленным </w:t>
      </w:r>
      <w:hyperlink w:history="0" w:anchor="P94" w:tooltip="2.1. Субсидии предоставляются субъектам МСП:">
        <w:r>
          <w:rPr>
            <w:sz w:val="20"/>
            <w:color w:val="0000ff"/>
          </w:rPr>
          <w:t xml:space="preserve">пунктами 2.1</w:t>
        </w:r>
      </w:hyperlink>
      <w:r>
        <w:rPr>
          <w:sz w:val="20"/>
        </w:rPr>
        <w:t xml:space="preserve">-</w:t>
      </w:r>
      <w:hyperlink w:history="0" w:anchor="P120" w:tooltip="2.1.11. не признавался совершившим нарушение порядка и условий оказания поддержки в течение года, за исключением случая более раннего устранения субъектом МСП такого нарушения при условии соблюдения им срока устранения такого нарушения, установленного Агентством,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не признавался совершившим такое нарушение в течение трех лет.">
        <w:r>
          <w:rPr>
            <w:sz w:val="20"/>
            <w:color w:val="0000ff"/>
          </w:rPr>
          <w:t xml:space="preserve">2.1.11</w:t>
        </w:r>
      </w:hyperlink>
      <w:r>
        <w:rPr>
          <w:sz w:val="20"/>
        </w:rPr>
        <w:t xml:space="preserve">, </w:t>
      </w:r>
      <w:hyperlink w:history="0" w:anchor="P122" w:tooltip="2.2. В предоставлении субсидий должно быть отказано в случае, если ранее в отношении субъекта МСП было принято решение об оказании аналогичной государственной поддержки (государственной поддержки, условия оказания которой совпадают, включая форму, вид поддержки и цели ее оказания, с формой, видами и целями предоставления субсидий, установленными настоящим Порядком) и сроки ее оказания не истекли.">
        <w:r>
          <w:rPr>
            <w:sz w:val="20"/>
            <w:color w:val="0000ff"/>
          </w:rPr>
          <w:t xml:space="preserve">2.2</w:t>
        </w:r>
      </w:hyperlink>
      <w:r>
        <w:rPr>
          <w:sz w:val="20"/>
        </w:rPr>
        <w:t xml:space="preserve"> настоящего Порядка, заявка и документы которых соответствуют перечню, формам и требованиям, установленным </w:t>
      </w:r>
      <w:hyperlink w:history="0" w:anchor="P142" w:tooltip="3.2.8. затраты, предъявленные к возмещению, понесены непосредственно субъектом МСП - участником конкурсного отбора.">
        <w:r>
          <w:rPr>
            <w:sz w:val="20"/>
            <w:color w:val="0000ff"/>
          </w:rPr>
          <w:t xml:space="preserve">пунктами 3.2.8</w:t>
        </w:r>
      </w:hyperlink>
      <w:r>
        <w:rPr>
          <w:sz w:val="20"/>
        </w:rPr>
        <w:t xml:space="preserve">, </w:t>
      </w:r>
      <w:hyperlink w:history="0" w:anchor="P144" w:tooltip="3.3. Субсидии на возмещение части затрат, связанных с приобретением оборудования, предоставляются единовременно в размере, указанном в паспорте бизнес-проекта (инвестиционного проекта) субъекта МСП, представляемого субъектом МСП, но не более 50% произведенных затрат, не более 5 млн рублей и не более чем один раз в три года.">
        <w:r>
          <w:rPr>
            <w:sz w:val="20"/>
            <w:color w:val="0000ff"/>
          </w:rPr>
          <w:t xml:space="preserve">3.3</w:t>
        </w:r>
      </w:hyperlink>
      <w:r>
        <w:rPr>
          <w:sz w:val="20"/>
        </w:rPr>
        <w:t xml:space="preserve">, </w:t>
      </w:r>
      <w:hyperlink w:history="0" w:anchor="P149" w:tooltip="3.4.2. заявку на получение субсидии по форме согласно приложению 1 к настоящему Порядку в 2 экземплярах;">
        <w:r>
          <w:rPr>
            <w:sz w:val="20"/>
            <w:color w:val="0000ff"/>
          </w:rPr>
          <w:t xml:space="preserve">3.4.2</w:t>
        </w:r>
      </w:hyperlink>
      <w:r>
        <w:rPr>
          <w:sz w:val="20"/>
        </w:rPr>
        <w:t xml:space="preserve">-</w:t>
      </w:r>
      <w:hyperlink w:history="0" w:anchor="P165" w:tooltip="3.4.7. дополнительно представляются заверенные субъектом МСП копии:">
        <w:r>
          <w:rPr>
            <w:sz w:val="20"/>
            <w:color w:val="0000ff"/>
          </w:rPr>
          <w:t xml:space="preserve">3.4.7</w:t>
        </w:r>
      </w:hyperlink>
      <w:r>
        <w:rPr>
          <w:sz w:val="20"/>
        </w:rPr>
        <w:t xml:space="preserve">, </w:t>
      </w:r>
      <w:hyperlink w:history="0" w:anchor="P191" w:tooltip="4.2.8. затраты, связанные с оплатой первого взноса (аванса) лизинга, осуществлены непосредственно субъектом МСП - участником конкурсного отбора.">
        <w:r>
          <w:rPr>
            <w:sz w:val="20"/>
            <w:color w:val="0000ff"/>
          </w:rPr>
          <w:t xml:space="preserve">4.2.8</w:t>
        </w:r>
      </w:hyperlink>
      <w:r>
        <w:rPr>
          <w:sz w:val="20"/>
        </w:rPr>
        <w:t xml:space="preserve">, </w:t>
      </w:r>
      <w:hyperlink w:history="0" w:anchor="P199" w:tooltip="4.4. Субсидии на возмещение части затрат, связанных с уплатой первого взноса (аванса) по договорам лизинга оборудования, предоставляются единовременно в размере, указанном в паспорте бизнес-проекта (инвестиционного проекта) субъекта МСП, представляемого субъектом МСП, но не более 100% произведенных затрат, включая затраты на монтаж оборудования, не более 5 млн рублей и не более чем один раз в три года.">
        <w:r>
          <w:rPr>
            <w:sz w:val="20"/>
            <w:color w:val="0000ff"/>
          </w:rPr>
          <w:t xml:space="preserve">4.4</w:t>
        </w:r>
      </w:hyperlink>
      <w:r>
        <w:rPr>
          <w:sz w:val="20"/>
        </w:rPr>
        <w:t xml:space="preserve">, </w:t>
      </w:r>
      <w:hyperlink w:history="0" w:anchor="P204" w:tooltip="4.5.2. заявку на получение субсидии по форме согласно приложению 1 к настоящему Порядку в 2 экземплярах;">
        <w:r>
          <w:rPr>
            <w:sz w:val="20"/>
            <w:color w:val="0000ff"/>
          </w:rPr>
          <w:t xml:space="preserve">4.5.2</w:t>
        </w:r>
      </w:hyperlink>
      <w:r>
        <w:rPr>
          <w:sz w:val="20"/>
        </w:rPr>
        <w:t xml:space="preserve">-</w:t>
      </w:r>
      <w:hyperlink w:history="0" w:anchor="P220" w:tooltip="4.5.9. дополнительно представляются заверенные субъектом МСП копии:">
        <w:r>
          <w:rPr>
            <w:sz w:val="20"/>
            <w:color w:val="0000ff"/>
          </w:rPr>
          <w:t xml:space="preserve">4.5.9</w:t>
        </w:r>
      </w:hyperlink>
      <w:r>
        <w:rPr>
          <w:sz w:val="20"/>
        </w:rPr>
        <w:t xml:space="preserve">, </w:t>
      </w:r>
      <w:hyperlink w:history="0" w:anchor="P274" w:tooltip="5.3. Представленные документы должны быть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 скан-копии документов должны быть читаемы.">
        <w:r>
          <w:rPr>
            <w:sz w:val="20"/>
            <w:color w:val="0000ff"/>
          </w:rPr>
          <w:t xml:space="preserve">5.3</w:t>
        </w:r>
      </w:hyperlink>
      <w:r>
        <w:rPr>
          <w:sz w:val="20"/>
        </w:rPr>
        <w:t xml:space="preserve"> и </w:t>
      </w:r>
      <w:hyperlink w:history="0" w:anchor="P226" w:tooltip="IV(1). Особенности предоставления субсидий по двум">
        <w:r>
          <w:rPr>
            <w:sz w:val="20"/>
            <w:color w:val="0000ff"/>
          </w:rPr>
          <w:t xml:space="preserve">разделом IV(1)</w:t>
        </w:r>
      </w:hyperlink>
      <w:r>
        <w:rPr>
          <w:sz w:val="20"/>
        </w:rPr>
        <w:t xml:space="preserve"> настоящего Порядка, требованиям и условиям о соответствии оборудования, договоров приобретения оборудования, договоров лизинга оборудования </w:t>
      </w:r>
      <w:hyperlink w:history="0" w:anchor="P63" w:tooltip="1.3.5. оборудование - основное средство первоначальной стоимостью более 40000 рублей, под которым в целях настоящего Порядка понимаются оборудование, устройства, механизмы, станки, приборы, аппараты, агрегаты, установки, машины, транспортное средство, относящиеся к третьей - десятой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1 января 2002 г. N 1 &quot;О Классификации основных средств, включаемых...">
        <w:r>
          <w:rPr>
            <w:sz w:val="20"/>
            <w:color w:val="0000ff"/>
          </w:rPr>
          <w:t xml:space="preserve">пунктам 1.3.5</w:t>
        </w:r>
      </w:hyperlink>
      <w:r>
        <w:rPr>
          <w:sz w:val="20"/>
        </w:rPr>
        <w:t xml:space="preserve">, </w:t>
      </w:r>
      <w:hyperlink w:history="0" w:anchor="P127" w:tooltip="3.1. Субсидии на возмещение части затрат, связанных с приобретением оборудования, предоставляются по договорам приобретения нового и полнокомплектного оборудования и его монтажа, заключенным не ранее чем 1 января за три года, предшествующих году проведения конкурсного отбора.">
        <w:r>
          <w:rPr>
            <w:sz w:val="20"/>
            <w:color w:val="0000ff"/>
          </w:rPr>
          <w:t xml:space="preserve">3.1</w:t>
        </w:r>
      </w:hyperlink>
      <w:r>
        <w:rPr>
          <w:sz w:val="20"/>
        </w:rPr>
        <w:t xml:space="preserve">, </w:t>
      </w:r>
      <w:hyperlink w:history="0" w:anchor="P177" w:tooltip="4.1. Субсидии на возмещение части затрат, связанных с уплатой первого взноса (аванса) по договорам лизинга оборудования, предоставляются субъектам МСП по договорам лизинга оборудования, заключенным не ранее чем 1 января за три года, предшествующих году проведения конкурсного отбора.">
        <w:r>
          <w:rPr>
            <w:sz w:val="20"/>
            <w:color w:val="0000ff"/>
          </w:rPr>
          <w:t xml:space="preserve">4.1</w:t>
        </w:r>
      </w:hyperlink>
      <w:r>
        <w:rPr>
          <w:sz w:val="20"/>
        </w:rPr>
        <w:t xml:space="preserve">, </w:t>
      </w:r>
      <w:hyperlink w:history="0" w:anchor="P193" w:tooltip="4.3. Субсидии на возмещение части затрат, связанных с уплатой первого взноса (аванса) по договорам лизинга оборудования, предоставляются по договорам лизинга оборудования, соответствующим следующим требованиям:">
        <w:r>
          <w:rPr>
            <w:sz w:val="20"/>
            <w:color w:val="0000ff"/>
          </w:rPr>
          <w:t xml:space="preserve">4.3</w:t>
        </w:r>
      </w:hyperlink>
      <w:r>
        <w:rPr>
          <w:sz w:val="20"/>
        </w:rPr>
        <w:t xml:space="preserve"> настоящего Порядка, и (или) информацию о субъектах МСП, заявки и документы которых отклонены, с указанием причин их отклонения, в том числе положений объявления об отборе;</w:t>
      </w:r>
    </w:p>
    <w:p>
      <w:pPr>
        <w:pStyle w:val="0"/>
        <w:spacing w:before="200" w:line-rule="auto"/>
        <w:ind w:firstLine="540"/>
        <w:jc w:val="both"/>
      </w:pPr>
      <w:r>
        <w:rPr>
          <w:sz w:val="20"/>
        </w:rPr>
        <w:t xml:space="preserve">публикует протокол в информационно-телекоммуникационной сети "Интернет" на официальном сайте Агентства и официальном сайте информационной поддержки субъектов МСП по адресу: www.msppk.ru.</w:t>
      </w:r>
    </w:p>
    <w:p>
      <w:pPr>
        <w:pStyle w:val="0"/>
        <w:jc w:val="both"/>
      </w:pPr>
      <w:r>
        <w:rPr>
          <w:sz w:val="20"/>
        </w:rPr>
        <w:t xml:space="preserve">(введено </w:t>
      </w:r>
      <w:hyperlink w:history="0" r:id="rId161"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Постановлением</w:t>
        </w:r>
      </w:hyperlink>
      <w:r>
        <w:rPr>
          <w:sz w:val="20"/>
        </w:rPr>
        <w:t xml:space="preserve"> Правительства Пермского края от 30.03.2023 N 222-п)</w:t>
      </w:r>
    </w:p>
    <w:p>
      <w:pPr>
        <w:pStyle w:val="0"/>
        <w:spacing w:before="200" w:line-rule="auto"/>
        <w:ind w:firstLine="540"/>
        <w:jc w:val="both"/>
      </w:pPr>
      <w:r>
        <w:rPr>
          <w:sz w:val="20"/>
        </w:rPr>
        <w:t xml:space="preserve">Субъект МСП вправе устранить выявленные несоответствия и повторно направить в Агентство недостающие документы не позднее дня и времени окончания приема заявок и документов для участия в отборе, указанного в объявлении об отборе.</w:t>
      </w:r>
    </w:p>
    <w:p>
      <w:pPr>
        <w:pStyle w:val="0"/>
        <w:jc w:val="both"/>
      </w:pPr>
      <w:r>
        <w:rPr>
          <w:sz w:val="20"/>
        </w:rPr>
        <w:t xml:space="preserve">(в ред. Постановлений Правительства Пермского края от 16.09.2020 </w:t>
      </w:r>
      <w:hyperlink w:history="0" r:id="rId162" w:tooltip="Постановление Правительства Пермского края от 16.09.2020 N 688-п &quot;О внесении изменений в отдельные постановления Правительства Пермского края по вопросам развития малого и среднего предпринимательства&quot; {КонсультантПлюс}">
        <w:r>
          <w:rPr>
            <w:sz w:val="20"/>
            <w:color w:val="0000ff"/>
          </w:rPr>
          <w:t xml:space="preserve">N 688-п</w:t>
        </w:r>
      </w:hyperlink>
      <w:r>
        <w:rPr>
          <w:sz w:val="20"/>
        </w:rPr>
        <w:t xml:space="preserve">, от 20.10.2021 </w:t>
      </w:r>
      <w:hyperlink w:history="0" r:id="rId163" w:tooltip="Постановление Правительства Пермского края от 20.10.2021 N 79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793-п</w:t>
        </w:r>
      </w:hyperlink>
      <w:r>
        <w:rPr>
          <w:sz w:val="20"/>
        </w:rPr>
        <w:t xml:space="preserve">)</w:t>
      </w:r>
    </w:p>
    <w:p>
      <w:pPr>
        <w:pStyle w:val="0"/>
        <w:spacing w:before="200" w:line-rule="auto"/>
        <w:ind w:firstLine="540"/>
        <w:jc w:val="both"/>
      </w:pPr>
      <w:r>
        <w:rPr>
          <w:sz w:val="20"/>
        </w:rPr>
        <w:t xml:space="preserve">Направленные документы повторно регистрируются в Журнале и рассматриваются Агентством в порядке, установленном </w:t>
      </w:r>
      <w:hyperlink w:history="0" w:anchor="P279" w:tooltip="5.4. Абзац утратил силу. - Постановление Правительства Пермского края от 07.04.2022 N 285-п.">
        <w:r>
          <w:rPr>
            <w:sz w:val="20"/>
            <w:color w:val="0000ff"/>
          </w:rPr>
          <w:t xml:space="preserve">пунктом 5.4</w:t>
        </w:r>
      </w:hyperlink>
      <w:r>
        <w:rPr>
          <w:sz w:val="20"/>
        </w:rPr>
        <w:t xml:space="preserve"> настоящего Порядка, </w:t>
      </w:r>
      <w:hyperlink w:history="0" w:anchor="P285" w:tooltip="5.5. Рассмотрение заявок и документов, представленных субъектами МСП, на предмет их комплектности и соответствия требованиям, установленным пунктом 5.3 настоящего Порядка, проверка субъектов МСП на соответствие требованиям, установленным пунктами 2.1-2.1.11, 2.2 настоящего Порядка, проверка оборудования, договоров приобретения оборудования, договоров лизинга оборудования на соответствие пунктам 1.3.5, 3.1, 4.1, 4.3 настоящего Порядка осуществляются Агентством каждые 3 рабочих дня со дня регистрации заявк...">
        <w:r>
          <w:rPr>
            <w:sz w:val="20"/>
            <w:color w:val="0000ff"/>
          </w:rPr>
          <w:t xml:space="preserve">абзацами первым</w:t>
        </w:r>
      </w:hyperlink>
      <w:r>
        <w:rPr>
          <w:sz w:val="20"/>
        </w:rPr>
        <w:t xml:space="preserve">, </w:t>
      </w:r>
      <w:hyperlink w:history="0" w:anchor="P294" w:tooltip="несоответствие условию(-ям), установленному(-ым) пунктом(-ами) 3.2.8, 3.3, 4.2.8, 4.4 и разделом IV(1) настоящего Порядка.">
        <w:r>
          <w:rPr>
            <w:sz w:val="20"/>
            <w:color w:val="0000ff"/>
          </w:rPr>
          <w:t xml:space="preserve">вторым</w:t>
        </w:r>
      </w:hyperlink>
      <w:r>
        <w:rPr>
          <w:sz w:val="20"/>
        </w:rPr>
        <w:t xml:space="preserve"> настоящего пункта.</w:t>
      </w:r>
    </w:p>
    <w:p>
      <w:pPr>
        <w:pStyle w:val="0"/>
        <w:jc w:val="both"/>
      </w:pPr>
      <w:r>
        <w:rPr>
          <w:sz w:val="20"/>
        </w:rPr>
        <w:t xml:space="preserve">(в ред. </w:t>
      </w:r>
      <w:hyperlink w:history="0" r:id="rId164" w:tooltip="Постановление Правительства Пермского края от 16.09.2020 N 688-п &quot;О внесении изменений в отдельные постановления Правительства Пермского края по вопросам развития малого и среднего предпринимательства&quot; {КонсультантПлюс}">
        <w:r>
          <w:rPr>
            <w:sz w:val="20"/>
            <w:color w:val="0000ff"/>
          </w:rPr>
          <w:t xml:space="preserve">Постановления</w:t>
        </w:r>
      </w:hyperlink>
      <w:r>
        <w:rPr>
          <w:sz w:val="20"/>
        </w:rPr>
        <w:t xml:space="preserve"> Правительства Пермского края от 16.09.2020 N 688-п)</w:t>
      </w:r>
    </w:p>
    <w:p>
      <w:pPr>
        <w:pStyle w:val="0"/>
        <w:spacing w:before="200" w:line-rule="auto"/>
        <w:ind w:firstLine="540"/>
        <w:jc w:val="both"/>
      </w:pPr>
      <w:r>
        <w:rPr>
          <w:sz w:val="20"/>
        </w:rPr>
        <w:t xml:space="preserve">В случае если субъект МСП устранил выявленные несоответствия, заявке присваивается новый порядковый номер в Журнале, предыдущий номер, присвоенный заявке и документам субъекта МСП, аннулируется.</w:t>
      </w:r>
    </w:p>
    <w:p>
      <w:pPr>
        <w:pStyle w:val="0"/>
        <w:spacing w:before="200" w:line-rule="auto"/>
        <w:ind w:firstLine="540"/>
        <w:jc w:val="both"/>
      </w:pPr>
      <w:r>
        <w:rPr>
          <w:sz w:val="20"/>
        </w:rPr>
        <w:t xml:space="preserve">В случае неустранения выявленных несоответствий субъект МСП считается не допущенным к конкурсу.</w:t>
      </w:r>
    </w:p>
    <w:p>
      <w:pPr>
        <w:pStyle w:val="0"/>
        <w:spacing w:before="200" w:line-rule="auto"/>
        <w:ind w:firstLine="540"/>
        <w:jc w:val="both"/>
      </w:pPr>
      <w:r>
        <w:rPr>
          <w:sz w:val="20"/>
        </w:rPr>
        <w:t xml:space="preserve">5.5(1). Субъект МСП вправе отозвать или изменить направленную ранее заявку и документы в любое время до дня окончания срока приема заявок.</w:t>
      </w:r>
    </w:p>
    <w:p>
      <w:pPr>
        <w:pStyle w:val="0"/>
        <w:spacing w:before="200" w:line-rule="auto"/>
        <w:ind w:firstLine="540"/>
        <w:jc w:val="both"/>
      </w:pPr>
      <w:r>
        <w:rPr>
          <w:sz w:val="20"/>
        </w:rPr>
        <w:t xml:space="preserve">Агентство возвращает заявку и документы по письменному заявлению субъекта МСП с соответствующей записью о возврате в Журнале.</w:t>
      </w:r>
    </w:p>
    <w:p>
      <w:pPr>
        <w:pStyle w:val="0"/>
        <w:spacing w:before="200" w:line-rule="auto"/>
        <w:ind w:firstLine="540"/>
        <w:jc w:val="both"/>
      </w:pPr>
      <w:r>
        <w:rPr>
          <w:sz w:val="20"/>
        </w:rPr>
        <w:t xml:space="preserve">После окончания дня и времени приема заявок и документов для участия в конкурсном отборе, указанных в объявлении об отборе, заявка и документы, представленные на конкурсный отбор, возврату не подлежат.</w:t>
      </w:r>
    </w:p>
    <w:p>
      <w:pPr>
        <w:pStyle w:val="0"/>
        <w:jc w:val="both"/>
      </w:pPr>
      <w:r>
        <w:rPr>
          <w:sz w:val="20"/>
        </w:rPr>
        <w:t xml:space="preserve">(абзац введен </w:t>
      </w:r>
      <w:hyperlink w:history="0" r:id="rId165" w:tooltip="Постановление Правительства Пермского края от 20.10.2021 N 79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Постановлением</w:t>
        </w:r>
      </w:hyperlink>
      <w:r>
        <w:rPr>
          <w:sz w:val="20"/>
        </w:rPr>
        <w:t xml:space="preserve"> Правительства Пермского края от 20.10.2021 N 793-п)</w:t>
      </w:r>
    </w:p>
    <w:p>
      <w:pPr>
        <w:pStyle w:val="0"/>
        <w:jc w:val="both"/>
      </w:pPr>
      <w:r>
        <w:rPr>
          <w:sz w:val="20"/>
        </w:rPr>
        <w:t xml:space="preserve">(п. 5.5(1) введен </w:t>
      </w:r>
      <w:hyperlink w:history="0" r:id="rId166" w:tooltip="Постановление Правительства Пермского края от 30.12.2020 N 1068-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Постановлением</w:t>
        </w:r>
      </w:hyperlink>
      <w:r>
        <w:rPr>
          <w:sz w:val="20"/>
        </w:rPr>
        <w:t xml:space="preserve"> Правительства Пермского края от 30.12.2020 N 1068-п)</w:t>
      </w:r>
    </w:p>
    <w:bookmarkStart w:id="311" w:name="P311"/>
    <w:bookmarkEnd w:id="311"/>
    <w:p>
      <w:pPr>
        <w:pStyle w:val="0"/>
        <w:spacing w:before="200" w:line-rule="auto"/>
        <w:ind w:firstLine="540"/>
        <w:jc w:val="both"/>
      </w:pPr>
      <w:r>
        <w:rPr>
          <w:sz w:val="20"/>
        </w:rPr>
        <w:t xml:space="preserve">5.6. Агентство в течение 7 рабочих дней после дня окончания приема заявок и документов направляет протокол(-ы), указанный(-ые) в </w:t>
      </w:r>
      <w:hyperlink w:history="0" w:anchor="P285" w:tooltip="5.5. Рассмотрение заявок и документов, представленных субъектами МСП, на предмет их комплектности и соответствия требованиям, установленным пунктом 5.3 настоящего Порядка, проверка субъектов МСП на соответствие требованиям, установленным пунктами 2.1-2.1.11, 2.2 настоящего Порядка, проверка оборудования, договоров приобретения оборудования, договоров лизинга оборудования на соответствие пунктам 1.3.5, 3.1, 4.1, 4.3 настоящего Порядка осуществляются Агентством каждые 3 рабочих дня со дня регистрации заявк...">
        <w:r>
          <w:rPr>
            <w:sz w:val="20"/>
            <w:color w:val="0000ff"/>
          </w:rPr>
          <w:t xml:space="preserve">пункте 5.5</w:t>
        </w:r>
      </w:hyperlink>
      <w:r>
        <w:rPr>
          <w:sz w:val="20"/>
        </w:rPr>
        <w:t xml:space="preserve"> настоящего Порядка, и паспорта бизнес-проектов (инвестиционных проектов) субъектов МСП в бумажном виде и (или) по электронной почте в экспертную группу для оценки бизнес-проектов (инвестиционных проектов) по </w:t>
      </w:r>
      <w:hyperlink w:history="0" w:anchor="P1091" w:tooltip="КРИТЕРИИ">
        <w:r>
          <w:rPr>
            <w:sz w:val="20"/>
            <w:color w:val="0000ff"/>
          </w:rPr>
          <w:t xml:space="preserve">критериям</w:t>
        </w:r>
      </w:hyperlink>
      <w:r>
        <w:rPr>
          <w:sz w:val="20"/>
        </w:rPr>
        <w:t xml:space="preserve"> оценки бизнес-проекта (инвестиционного проекта), указанным в приложении 5 к настоящему Порядку.</w:t>
      </w:r>
    </w:p>
    <w:p>
      <w:pPr>
        <w:pStyle w:val="0"/>
        <w:spacing w:before="200" w:line-rule="auto"/>
        <w:ind w:firstLine="540"/>
        <w:jc w:val="both"/>
      </w:pPr>
      <w:r>
        <w:rPr>
          <w:sz w:val="20"/>
        </w:rPr>
        <w:t xml:space="preserve">Экспертная группа формируется из числа представителей Агентства и независимых экспертов, обладающих знаниями и навыками в области экономики, финансов и бизнеса. Независимые эксперты привлекаются к работе экспертной группы на безвозмездной основе.</w:t>
      </w:r>
    </w:p>
    <w:p>
      <w:pPr>
        <w:pStyle w:val="0"/>
        <w:spacing w:before="200" w:line-rule="auto"/>
        <w:ind w:firstLine="540"/>
        <w:jc w:val="both"/>
      </w:pPr>
      <w:r>
        <w:rPr>
          <w:sz w:val="20"/>
        </w:rPr>
        <w:t xml:space="preserve">Положение и состав экспертной группы утверждаются приказом Агентства.</w:t>
      </w:r>
    </w:p>
    <w:p>
      <w:pPr>
        <w:pStyle w:val="0"/>
        <w:jc w:val="both"/>
      </w:pPr>
      <w:r>
        <w:rPr>
          <w:sz w:val="20"/>
        </w:rPr>
        <w:t xml:space="preserve">(п. 5.6 в ред. </w:t>
      </w:r>
      <w:hyperlink w:history="0" r:id="rId167"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30.03.2023 N 222-п)</w:t>
      </w:r>
    </w:p>
    <w:bookmarkStart w:id="315" w:name="P315"/>
    <w:bookmarkEnd w:id="315"/>
    <w:p>
      <w:pPr>
        <w:pStyle w:val="0"/>
        <w:spacing w:before="200" w:line-rule="auto"/>
        <w:ind w:firstLine="540"/>
        <w:jc w:val="both"/>
      </w:pPr>
      <w:r>
        <w:rPr>
          <w:sz w:val="20"/>
        </w:rPr>
        <w:t xml:space="preserve">5.7-5.9. Утратили силу. - </w:t>
      </w:r>
      <w:hyperlink w:history="0" r:id="rId168"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w:t>
        </w:r>
      </w:hyperlink>
      <w:r>
        <w:rPr>
          <w:sz w:val="20"/>
        </w:rPr>
        <w:t xml:space="preserve"> Правительства Пермского края от 30.03.2023 N 222-п.</w:t>
      </w:r>
    </w:p>
    <w:bookmarkStart w:id="316" w:name="P316"/>
    <w:bookmarkEnd w:id="316"/>
    <w:p>
      <w:pPr>
        <w:pStyle w:val="0"/>
        <w:spacing w:before="200" w:line-rule="auto"/>
        <w:ind w:firstLine="540"/>
        <w:jc w:val="both"/>
      </w:pPr>
      <w:r>
        <w:rPr>
          <w:sz w:val="20"/>
        </w:rPr>
        <w:t xml:space="preserve">5.10. Экспертная группа в течение 10 рабочих дней с даты получения документов, указанных в </w:t>
      </w:r>
      <w:hyperlink w:history="0" w:anchor="P311" w:tooltip="5.6. Агентство в течение 7 рабочих дней после дня окончания приема заявок и документов направляет протокол(-ы), указанный(-ые) в пункте 5.5 настоящего Порядка, и паспорта бизнес-проектов (инвестиционных проектов) субъектов МСП в бумажном виде и (или) по электронной почте в экспертную группу для оценки бизнес-проектов (инвестиционных проектов) по критериям оценки бизнес-проекта (инвестиционного проекта), указанным в приложении 5 к настоящему Порядку.">
        <w:r>
          <w:rPr>
            <w:sz w:val="20"/>
            <w:color w:val="0000ff"/>
          </w:rPr>
          <w:t xml:space="preserve">пункте 5.6</w:t>
        </w:r>
      </w:hyperlink>
      <w:r>
        <w:rPr>
          <w:sz w:val="20"/>
        </w:rPr>
        <w:t xml:space="preserve"> настоящего Порядка, оценивает бизнес-проекты (инвестиционные проекты) по </w:t>
      </w:r>
      <w:hyperlink w:history="0" w:anchor="P1091" w:tooltip="КРИТЕРИИ">
        <w:r>
          <w:rPr>
            <w:sz w:val="20"/>
            <w:color w:val="0000ff"/>
          </w:rPr>
          <w:t xml:space="preserve">критериям</w:t>
        </w:r>
      </w:hyperlink>
      <w:r>
        <w:rPr>
          <w:sz w:val="20"/>
        </w:rPr>
        <w:t xml:space="preserve"> оценки бизнес-проектов (инвестиционных проектов), установленным приложением 5 к настоящему Порядку, готовит с указанием суммы средних баллов, набранных по итогам оценки каждого члена экспертной группы (далее - сумма средних баллов), сводный оценочный </w:t>
      </w:r>
      <w:hyperlink w:history="0" w:anchor="P1377" w:tooltip="СВОДНЫЙ ОЦЕНОЧНЫЙ ЛИСТ">
        <w:r>
          <w:rPr>
            <w:sz w:val="20"/>
            <w:color w:val="0000ff"/>
          </w:rPr>
          <w:t xml:space="preserve">лист</w:t>
        </w:r>
      </w:hyperlink>
      <w:r>
        <w:rPr>
          <w:sz w:val="20"/>
        </w:rPr>
        <w:t xml:space="preserve"> бизнес-проектов (инвестиционных проектов) субъектов малого и среднего предпринимательства, представленных для получения субсидий на возмещение части затрат, связанных с осуществлением ими предпринимательской деятельности, по форме согласно приложению 7 к настоящему Порядку путем их ранжирования от наибольшего значения суммы набранных баллов к наименьшему.</w:t>
      </w:r>
    </w:p>
    <w:p>
      <w:pPr>
        <w:pStyle w:val="0"/>
        <w:jc w:val="both"/>
      </w:pPr>
      <w:r>
        <w:rPr>
          <w:sz w:val="20"/>
        </w:rPr>
        <w:t xml:space="preserve">(в ред. </w:t>
      </w:r>
      <w:hyperlink w:history="0" r:id="rId169"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30.03.2023 N 222-п)</w:t>
      </w:r>
    </w:p>
    <w:p>
      <w:pPr>
        <w:pStyle w:val="0"/>
        <w:spacing w:before="200" w:line-rule="auto"/>
        <w:ind w:firstLine="540"/>
        <w:jc w:val="both"/>
      </w:pPr>
      <w:r>
        <w:rPr>
          <w:sz w:val="20"/>
        </w:rPr>
        <w:t xml:space="preserve">Максимальная сумма средних баллов при оценке бизнес-проекта (инвестиционного проекта) составляет 50 баллов.</w:t>
      </w:r>
    </w:p>
    <w:p>
      <w:pPr>
        <w:pStyle w:val="0"/>
        <w:jc w:val="both"/>
      </w:pPr>
      <w:r>
        <w:rPr>
          <w:sz w:val="20"/>
        </w:rPr>
        <w:t xml:space="preserve">(абзац введен </w:t>
      </w:r>
      <w:hyperlink w:history="0" r:id="rId170" w:tooltip="Постановление Правительства Пермского края от 24.12.2019 N 980-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Постановлением</w:t>
        </w:r>
      </w:hyperlink>
      <w:r>
        <w:rPr>
          <w:sz w:val="20"/>
        </w:rPr>
        <w:t xml:space="preserve"> Правительства Пермского края от 24.12.2019 N 980-п)</w:t>
      </w:r>
    </w:p>
    <w:bookmarkStart w:id="320" w:name="P320"/>
    <w:bookmarkEnd w:id="320"/>
    <w:p>
      <w:pPr>
        <w:pStyle w:val="0"/>
        <w:spacing w:before="200" w:line-rule="auto"/>
        <w:ind w:firstLine="540"/>
        <w:jc w:val="both"/>
      </w:pPr>
      <w:r>
        <w:rPr>
          <w:sz w:val="20"/>
        </w:rPr>
        <w:t xml:space="preserve">Бизнес-проекты (инвестиционные проекты), набравшие сумму средних баллов менее 25 баллов, не допускаются к рассмотрению на заседании комиссии по отбору.</w:t>
      </w:r>
    </w:p>
    <w:p>
      <w:pPr>
        <w:pStyle w:val="0"/>
        <w:jc w:val="both"/>
      </w:pPr>
      <w:r>
        <w:rPr>
          <w:sz w:val="20"/>
        </w:rPr>
        <w:t xml:space="preserve">(абзац введен </w:t>
      </w:r>
      <w:hyperlink w:history="0" r:id="rId171" w:tooltip="Постановление Правительства Пермского края от 24.12.2019 N 980-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Постановлением</w:t>
        </w:r>
      </w:hyperlink>
      <w:r>
        <w:rPr>
          <w:sz w:val="20"/>
        </w:rPr>
        <w:t xml:space="preserve"> Правительства Пермского края от 24.12.2019 N 980-п)</w:t>
      </w:r>
    </w:p>
    <w:p>
      <w:pPr>
        <w:pStyle w:val="0"/>
        <w:spacing w:before="200" w:line-rule="auto"/>
        <w:ind w:firstLine="540"/>
        <w:jc w:val="both"/>
      </w:pPr>
      <w:r>
        <w:rPr>
          <w:sz w:val="20"/>
        </w:rPr>
        <w:t xml:space="preserve">5.11. На основании сводного оценочного листа экспертная группа в течение 3 рабочих дней со дня истечения срока, установленного </w:t>
      </w:r>
      <w:hyperlink w:history="0" w:anchor="P316" w:tooltip="5.10. Экспертная группа в течение 10 рабочих дней с даты получения документов, указанных в пункте 5.6 настоящего Порядка, оценивает бизнес-проекты (инвестиционные проекты) по критериям оценки бизнес-проектов (инвестиционных проектов), установленным приложением 5 к настоящему Порядку, готовит с указанием суммы средних баллов, набранных по итогам оценки каждого члена экспертной группы (далее - сумма средних баллов), сводный оценочный лист бизнес-проектов (инвестиционных проектов) субъектов малого и среднег...">
        <w:r>
          <w:rPr>
            <w:sz w:val="20"/>
            <w:color w:val="0000ff"/>
          </w:rPr>
          <w:t xml:space="preserve">пунктом 5.10</w:t>
        </w:r>
      </w:hyperlink>
      <w:r>
        <w:rPr>
          <w:sz w:val="20"/>
        </w:rPr>
        <w:t xml:space="preserve"> настоящего Порядка, оформляет протокол заседания экспертной группы, содержащий:</w:t>
      </w:r>
    </w:p>
    <w:p>
      <w:pPr>
        <w:pStyle w:val="0"/>
        <w:jc w:val="both"/>
      </w:pPr>
      <w:r>
        <w:rPr>
          <w:sz w:val="20"/>
        </w:rPr>
        <w:t xml:space="preserve">(в ред. </w:t>
      </w:r>
      <w:hyperlink w:history="0" r:id="rId172"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30.03.2023 N 222-п)</w:t>
      </w:r>
    </w:p>
    <w:p>
      <w:pPr>
        <w:pStyle w:val="0"/>
        <w:spacing w:before="200" w:line-rule="auto"/>
        <w:ind w:firstLine="540"/>
        <w:jc w:val="both"/>
      </w:pPr>
      <w:r>
        <w:rPr>
          <w:sz w:val="20"/>
        </w:rPr>
        <w:t xml:space="preserve">дату, время и место оценки заявок и документов;</w:t>
      </w:r>
    </w:p>
    <w:p>
      <w:pPr>
        <w:pStyle w:val="0"/>
        <w:spacing w:before="200" w:line-rule="auto"/>
        <w:ind w:firstLine="540"/>
        <w:jc w:val="both"/>
      </w:pPr>
      <w:r>
        <w:rPr>
          <w:sz w:val="20"/>
        </w:rPr>
        <w:t xml:space="preserve">последовательность оценки бизнес-проектов (инвестиционных проектов), присвоенные значения (средний балл) по каждому из предусмотренных критериев оценки бизнес-проектов (инвестиционных проектов), принятое на основании результатов оценки решение о присвоении бизнес-проектам (инвестиционным проектам) порядковых номеров с соблюдением ранжирования согласно сводному оценочному листу и указанием размера субсидии по каждому бизнес-проекту (инвестиционному проекту), определенного в соответствии с </w:t>
      </w:r>
      <w:hyperlink w:history="0" w:anchor="P144" w:tooltip="3.3. Субсидии на возмещение части затрат, связанных с приобретением оборудования, предоставляются единовременно в размере, указанном в паспорте бизнес-проекта (инвестиционного проекта) субъекта МСП, представляемого субъектом МСП, но не более 50% произведенных затрат, не более 5 млн рублей и не более чем один раз в три года.">
        <w:r>
          <w:rPr>
            <w:sz w:val="20"/>
            <w:color w:val="0000ff"/>
          </w:rPr>
          <w:t xml:space="preserve">пунктами 3.3</w:t>
        </w:r>
      </w:hyperlink>
      <w:r>
        <w:rPr>
          <w:sz w:val="20"/>
        </w:rPr>
        <w:t xml:space="preserve">, </w:t>
      </w:r>
      <w:hyperlink w:history="0" w:anchor="P199" w:tooltip="4.4. Субсидии на возмещение части затрат, связанных с уплатой первого взноса (аванса) по договорам лизинга оборудования, предоставляются единовременно в размере, указанном в паспорте бизнес-проекта (инвестиционного проекта) субъекта МСП, представляемого субъектом МСП, но не более 100% произведенных затрат, включая затраты на монтаж оборудования, не более 5 млн рублей и не более чем один раз в три года.">
        <w:r>
          <w:rPr>
            <w:sz w:val="20"/>
            <w:color w:val="0000ff"/>
          </w:rPr>
          <w:t xml:space="preserve">4.4</w:t>
        </w:r>
      </w:hyperlink>
      <w:r>
        <w:rPr>
          <w:sz w:val="20"/>
        </w:rPr>
        <w:t xml:space="preserve"> и </w:t>
      </w:r>
      <w:hyperlink w:history="0" w:anchor="P226" w:tooltip="IV(1). Особенности предоставления субсидий по двум">
        <w:r>
          <w:rPr>
            <w:sz w:val="20"/>
            <w:color w:val="0000ff"/>
          </w:rPr>
          <w:t xml:space="preserve">разделом IV(1)</w:t>
        </w:r>
      </w:hyperlink>
      <w:r>
        <w:rPr>
          <w:sz w:val="20"/>
        </w:rPr>
        <w:t xml:space="preserve"> настоящего Порядка;</w:t>
      </w:r>
    </w:p>
    <w:p>
      <w:pPr>
        <w:pStyle w:val="0"/>
        <w:jc w:val="both"/>
      </w:pPr>
      <w:r>
        <w:rPr>
          <w:sz w:val="20"/>
        </w:rPr>
        <w:t xml:space="preserve">(в ред. </w:t>
      </w:r>
      <w:hyperlink w:history="0" r:id="rId173" w:tooltip="Постановление Правительства Пермского края от 20.10.2021 N 79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20.10.2021 N 793-п)</w:t>
      </w:r>
    </w:p>
    <w:p>
      <w:pPr>
        <w:pStyle w:val="0"/>
        <w:spacing w:before="200" w:line-rule="auto"/>
        <w:ind w:firstLine="540"/>
        <w:jc w:val="both"/>
      </w:pPr>
      <w:r>
        <w:rPr>
          <w:sz w:val="20"/>
        </w:rPr>
        <w:t xml:space="preserve">перечень субъектов МСП, бизнес-проекты (инвестиционные проекты) которых не допущены к рассмотрению на заседании комиссии по отбору в соответствии с </w:t>
      </w:r>
      <w:hyperlink w:history="0" w:anchor="P320" w:tooltip="Бизнес-проекты (инвестиционные проекты), набравшие сумму средних баллов менее 25 баллов, не допускаются к рассмотрению на заседании комиссии по отбору.">
        <w:r>
          <w:rPr>
            <w:sz w:val="20"/>
            <w:color w:val="0000ff"/>
          </w:rPr>
          <w:t xml:space="preserve">абзацем третьим пункта 5.10</w:t>
        </w:r>
      </w:hyperlink>
      <w:r>
        <w:rPr>
          <w:sz w:val="20"/>
        </w:rPr>
        <w:t xml:space="preserve"> настоящего Порядка.</w:t>
      </w:r>
    </w:p>
    <w:p>
      <w:pPr>
        <w:pStyle w:val="0"/>
        <w:jc w:val="both"/>
      </w:pPr>
      <w:r>
        <w:rPr>
          <w:sz w:val="20"/>
        </w:rPr>
        <w:t xml:space="preserve">(п. 5.11 в ред. </w:t>
      </w:r>
      <w:hyperlink w:history="0" r:id="rId174" w:tooltip="Постановление Правительства Пермского края от 30.12.2020 N 1068-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30.12.2020 N 1068-п)</w:t>
      </w:r>
    </w:p>
    <w:bookmarkStart w:id="329" w:name="P329"/>
    <w:bookmarkEnd w:id="329"/>
    <w:p>
      <w:pPr>
        <w:pStyle w:val="0"/>
        <w:spacing w:before="200" w:line-rule="auto"/>
        <w:ind w:firstLine="540"/>
        <w:jc w:val="both"/>
      </w:pPr>
      <w:r>
        <w:rPr>
          <w:sz w:val="20"/>
        </w:rPr>
        <w:t xml:space="preserve">5.12. Агентство в течение 2 рабочих дней со дня оформления протокола заседания экспертной группы:</w:t>
      </w:r>
    </w:p>
    <w:p>
      <w:pPr>
        <w:pStyle w:val="0"/>
        <w:jc w:val="both"/>
      </w:pPr>
      <w:r>
        <w:rPr>
          <w:sz w:val="20"/>
        </w:rPr>
        <w:t xml:space="preserve">(в ред. </w:t>
      </w:r>
      <w:hyperlink w:history="0" r:id="rId175" w:tooltip="Постановление Правительства Пермского края от 16.09.2020 N 688-п &quot;О внесении изменений в отдельные постановления Правительства Пермского края по вопросам развития малого и среднего предпринимательства&quot; {КонсультантПлюс}">
        <w:r>
          <w:rPr>
            <w:sz w:val="20"/>
            <w:color w:val="0000ff"/>
          </w:rPr>
          <w:t xml:space="preserve">Постановления</w:t>
        </w:r>
      </w:hyperlink>
      <w:r>
        <w:rPr>
          <w:sz w:val="20"/>
        </w:rPr>
        <w:t xml:space="preserve"> Правительства Пермского края от 16.09.2020 N 688-п)</w:t>
      </w:r>
    </w:p>
    <w:p>
      <w:pPr>
        <w:pStyle w:val="0"/>
        <w:spacing w:before="200" w:line-rule="auto"/>
        <w:ind w:firstLine="540"/>
        <w:jc w:val="both"/>
      </w:pPr>
      <w:r>
        <w:rPr>
          <w:sz w:val="20"/>
        </w:rPr>
        <w:t xml:space="preserve">5.12.1. публикует протокол заседания экспертной группы в информационно-телекоммуникационной сети "Интернет" на едином портале, на официальном сайте Агентства и на официальном сайте информационной поддержки субъектов малого и среднего предпринимательства по адресу: www.msppk.ru;</w:t>
      </w:r>
    </w:p>
    <w:p>
      <w:pPr>
        <w:pStyle w:val="0"/>
        <w:jc w:val="both"/>
      </w:pPr>
      <w:r>
        <w:rPr>
          <w:sz w:val="20"/>
        </w:rPr>
        <w:t xml:space="preserve">(в ред. Постановлений Правительства Пермского края от 16.09.2020 </w:t>
      </w:r>
      <w:hyperlink w:history="0" r:id="rId176" w:tooltip="Постановление Правительства Пермского края от 16.09.2020 N 688-п &quot;О внесении изменений в отдельные постановления Правительства Пермского края по вопросам развития малого и среднего предпринимательства&quot; {КонсультантПлюс}">
        <w:r>
          <w:rPr>
            <w:sz w:val="20"/>
            <w:color w:val="0000ff"/>
          </w:rPr>
          <w:t xml:space="preserve">N 688-п</w:t>
        </w:r>
      </w:hyperlink>
      <w:r>
        <w:rPr>
          <w:sz w:val="20"/>
        </w:rPr>
        <w:t xml:space="preserve">, от 30.12.2020 </w:t>
      </w:r>
      <w:hyperlink w:history="0" r:id="rId177" w:tooltip="Постановление Правительства Пермского края от 30.12.2020 N 1068-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1068-п</w:t>
        </w:r>
      </w:hyperlink>
      <w:r>
        <w:rPr>
          <w:sz w:val="20"/>
        </w:rPr>
        <w:t xml:space="preserve">)</w:t>
      </w:r>
    </w:p>
    <w:bookmarkStart w:id="333" w:name="P333"/>
    <w:bookmarkEnd w:id="333"/>
    <w:p>
      <w:pPr>
        <w:pStyle w:val="0"/>
        <w:spacing w:before="200" w:line-rule="auto"/>
        <w:ind w:firstLine="540"/>
        <w:jc w:val="both"/>
      </w:pPr>
      <w:r>
        <w:rPr>
          <w:sz w:val="20"/>
        </w:rPr>
        <w:t xml:space="preserve">5.12.2. направляет протокол(-ы), указанный(-ые) в </w:t>
      </w:r>
      <w:hyperlink w:history="0" w:anchor="P285" w:tooltip="5.5. Рассмотрение заявок и документов, представленных субъектами МСП, на предмет их комплектности и соответствия требованиям, установленным пунктом 5.3 настоящего Порядка, проверка субъектов МСП на соответствие требованиям, установленным пунктами 2.1-2.1.11, 2.2 настоящего Порядка, проверка оборудования, договоров приобретения оборудования, договоров лизинга оборудования на соответствие пунктам 1.3.5, 3.1, 4.1, 4.3 настоящего Порядка осуществляются Агентством каждые 3 рабочих дня со дня регистрации заявк...">
        <w:r>
          <w:rPr>
            <w:sz w:val="20"/>
            <w:color w:val="0000ff"/>
          </w:rPr>
          <w:t xml:space="preserve">пункте 5.5</w:t>
        </w:r>
      </w:hyperlink>
      <w:r>
        <w:rPr>
          <w:sz w:val="20"/>
        </w:rPr>
        <w:t xml:space="preserve"> настоящего Порядка, протокол заседания экспертной группы, а также заявки и документы для участия в конкурсе, представленные субъектами МСП, в бумажном виде и (или) по электронной почте в комиссию по отбору.</w:t>
      </w:r>
    </w:p>
    <w:p>
      <w:pPr>
        <w:pStyle w:val="0"/>
        <w:jc w:val="both"/>
      </w:pPr>
      <w:r>
        <w:rPr>
          <w:sz w:val="20"/>
        </w:rPr>
        <w:t xml:space="preserve">(в ред. </w:t>
      </w:r>
      <w:hyperlink w:history="0" r:id="rId178"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30.03.2023 N 222-п)</w:t>
      </w:r>
    </w:p>
    <w:p>
      <w:pPr>
        <w:pStyle w:val="0"/>
        <w:spacing w:before="200" w:line-rule="auto"/>
        <w:ind w:firstLine="540"/>
        <w:jc w:val="both"/>
      </w:pPr>
      <w:r>
        <w:rPr>
          <w:sz w:val="20"/>
        </w:rPr>
        <w:t xml:space="preserve">Положение и состав комиссии по отбору утверждаются приказом Агентства. Состав комиссии формируется из представителей исполнительных органов государственной власти Пермского края, общественных организаций, выражающих интересы субъектов МСП.</w:t>
      </w:r>
    </w:p>
    <w:p>
      <w:pPr>
        <w:pStyle w:val="0"/>
        <w:jc w:val="both"/>
      </w:pPr>
      <w:r>
        <w:rPr>
          <w:sz w:val="20"/>
        </w:rPr>
        <w:t xml:space="preserve">(в ред. Постановлений Правительства Пермского края от 16.09.2020 </w:t>
      </w:r>
      <w:hyperlink w:history="0" r:id="rId179" w:tooltip="Постановление Правительства Пермского края от 16.09.2020 N 688-п &quot;О внесении изменений в отдельные постановления Правительства Пермского края по вопросам развития малого и среднего предпринимательства&quot; {КонсультантПлюс}">
        <w:r>
          <w:rPr>
            <w:sz w:val="20"/>
            <w:color w:val="0000ff"/>
          </w:rPr>
          <w:t xml:space="preserve">N 688-п</w:t>
        </w:r>
      </w:hyperlink>
      <w:r>
        <w:rPr>
          <w:sz w:val="20"/>
        </w:rPr>
        <w:t xml:space="preserve">, от 30.12.2020 </w:t>
      </w:r>
      <w:hyperlink w:history="0" r:id="rId180" w:tooltip="Постановление Правительства Пермского края от 30.12.2020 N 1068-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1068-п</w:t>
        </w:r>
      </w:hyperlink>
      <w:r>
        <w:rPr>
          <w:sz w:val="20"/>
        </w:rPr>
        <w:t xml:space="preserve">)</w:t>
      </w:r>
    </w:p>
    <w:p>
      <w:pPr>
        <w:pStyle w:val="0"/>
        <w:spacing w:before="200" w:line-rule="auto"/>
        <w:ind w:firstLine="540"/>
        <w:jc w:val="both"/>
      </w:pPr>
      <w:r>
        <w:rPr>
          <w:sz w:val="20"/>
        </w:rPr>
        <w:t xml:space="preserve">5.13. Комиссия по отбору в течение 15 рабочих дней с даты получения документов, указанных в </w:t>
      </w:r>
      <w:hyperlink w:history="0" w:anchor="P333" w:tooltip="5.12.2. направляет протокол(-ы), указанный(-ые) в пункте 5.5 настоящего Порядка, протокол заседания экспертной группы, а также заявки и документы для участия в конкурсе, представленные субъектами МСП, в бумажном виде и (или) по электронной почте в комиссию по отбору.">
        <w:r>
          <w:rPr>
            <w:sz w:val="20"/>
            <w:color w:val="0000ff"/>
          </w:rPr>
          <w:t xml:space="preserve">пункте 5.12.2</w:t>
        </w:r>
      </w:hyperlink>
      <w:r>
        <w:rPr>
          <w:sz w:val="20"/>
        </w:rPr>
        <w:t xml:space="preserve"> настоящего Порядка, рассматривает их и принимает решение по включению субъектов МСП в перечень субъектов МСП, рекомендованных Агентству для включения в перечень победителей конкурсного отбора, и (или) по включению субъектов МСП в перечень субъектов МСП, не рекомендованных Агентству для включения в перечень победителей конкурсного отбора, исходя из наилучших условий достижения результатов, в целях достижения которых предоставляется субсидия.</w:t>
      </w:r>
    </w:p>
    <w:p>
      <w:pPr>
        <w:pStyle w:val="0"/>
        <w:jc w:val="both"/>
      </w:pPr>
      <w:r>
        <w:rPr>
          <w:sz w:val="20"/>
        </w:rPr>
        <w:t xml:space="preserve">(в ред. </w:t>
      </w:r>
      <w:hyperlink w:history="0" r:id="rId181"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30.03.2023 N 222-п)</w:t>
      </w:r>
    </w:p>
    <w:p>
      <w:pPr>
        <w:pStyle w:val="0"/>
        <w:spacing w:before="200" w:line-rule="auto"/>
        <w:ind w:firstLine="540"/>
        <w:jc w:val="both"/>
      </w:pPr>
      <w:r>
        <w:rPr>
          <w:sz w:val="20"/>
        </w:rPr>
        <w:t xml:space="preserve">Формой работы комиссии по отбору являются заседания, которые проводятся в очном режиме и (или) в режиме видео-конференц-связи, в том числе с участием субъекта МСП либо иного уполномоченного им лица по доверенности.</w:t>
      </w:r>
    </w:p>
    <w:p>
      <w:pPr>
        <w:pStyle w:val="0"/>
        <w:spacing w:before="200" w:line-rule="auto"/>
        <w:ind w:firstLine="540"/>
        <w:jc w:val="both"/>
      </w:pPr>
      <w:r>
        <w:rPr>
          <w:sz w:val="20"/>
        </w:rPr>
        <w:t xml:space="preserve">Комиссия по отбору:</w:t>
      </w:r>
    </w:p>
    <w:p>
      <w:pPr>
        <w:pStyle w:val="0"/>
        <w:spacing w:before="200" w:line-rule="auto"/>
        <w:ind w:firstLine="540"/>
        <w:jc w:val="both"/>
      </w:pPr>
      <w:r>
        <w:rPr>
          <w:sz w:val="20"/>
        </w:rPr>
        <w:t xml:space="preserve">заслушивает субъектов МСП, рассматривает заявки и оценивает каждый бизнес-проект (инвестиционный проект) в соответствии с </w:t>
      </w:r>
      <w:hyperlink w:history="0" w:anchor="P348" w:tooltip="5.14.1. Каждый член комиссии по отбору рассматривает и оценивает бизнес-проект (инвестиционный проект), представленный субъектом МСП, с присвоением баллов по каждому критерию оценки бизнес-проекта (инвестиционного проекта) субъекта малого и среднего предпринимательства комиссией по отбору в соответствии с формой, установленной приложением 9 к настоящему Порядку.">
        <w:r>
          <w:rPr>
            <w:sz w:val="20"/>
            <w:color w:val="0000ff"/>
          </w:rPr>
          <w:t xml:space="preserve">пунктом 5.14.1</w:t>
        </w:r>
      </w:hyperlink>
      <w:r>
        <w:rPr>
          <w:sz w:val="20"/>
        </w:rPr>
        <w:t xml:space="preserve"> настоящего Порядка;</w:t>
      </w:r>
    </w:p>
    <w:p>
      <w:pPr>
        <w:pStyle w:val="0"/>
        <w:spacing w:before="200" w:line-rule="auto"/>
        <w:ind w:firstLine="540"/>
        <w:jc w:val="both"/>
      </w:pPr>
      <w:r>
        <w:rPr>
          <w:sz w:val="20"/>
        </w:rPr>
        <w:t xml:space="preserve">формирует рейтинг бизнес-проектов (инвестиционных проектов), представленных субъектами МСП в соответствии с </w:t>
      </w:r>
      <w:hyperlink w:history="0" w:anchor="P348" w:tooltip="5.14.1. Каждый член комиссии по отбору рассматривает и оценивает бизнес-проект (инвестиционный проект), представленный субъектом МСП, с присвоением баллов по каждому критерию оценки бизнес-проекта (инвестиционного проекта) субъекта малого и среднего предпринимательства комиссией по отбору в соответствии с формой, установленной приложением 9 к настоящему Порядку.">
        <w:r>
          <w:rPr>
            <w:sz w:val="20"/>
            <w:color w:val="0000ff"/>
          </w:rPr>
          <w:t xml:space="preserve">пунктом 5.14.1</w:t>
        </w:r>
      </w:hyperlink>
      <w:r>
        <w:rPr>
          <w:sz w:val="20"/>
        </w:rPr>
        <w:t xml:space="preserve"> настоящего Порядка;</w:t>
      </w:r>
    </w:p>
    <w:p>
      <w:pPr>
        <w:pStyle w:val="0"/>
        <w:spacing w:before="200" w:line-rule="auto"/>
        <w:ind w:firstLine="540"/>
        <w:jc w:val="both"/>
      </w:pPr>
      <w:r>
        <w:rPr>
          <w:sz w:val="20"/>
        </w:rPr>
        <w:t xml:space="preserve">определяет пороговое значение балла, при котором субъект МСП подлежит включению в перечень субъектов МСП, рекомендованных Агентству для включения в перечень победителей конкурсного отбора, с учетом положений </w:t>
      </w:r>
      <w:hyperlink w:history="0" w:anchor="P74" w:tooltip="1.4. Главным распорядителем средств бюджета Пермского края,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текущий финансовый год, является Агентство по развитию малого и среднего предпринимательства Пермского края (далее - Агентство).">
        <w:r>
          <w:rPr>
            <w:sz w:val="20"/>
            <w:color w:val="0000ff"/>
          </w:rPr>
          <w:t xml:space="preserve">пункта 1.4</w:t>
        </w:r>
      </w:hyperlink>
      <w:r>
        <w:rPr>
          <w:sz w:val="20"/>
        </w:rPr>
        <w:t xml:space="preserve"> настоящего Порядка.</w:t>
      </w:r>
    </w:p>
    <w:p>
      <w:pPr>
        <w:pStyle w:val="0"/>
        <w:jc w:val="both"/>
      </w:pPr>
      <w:r>
        <w:rPr>
          <w:sz w:val="20"/>
        </w:rPr>
        <w:t xml:space="preserve">(в ред. </w:t>
      </w:r>
      <w:hyperlink w:history="0" r:id="rId182"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30.03.2023 N 222-п)</w:t>
      </w:r>
    </w:p>
    <w:p>
      <w:pPr>
        <w:pStyle w:val="0"/>
        <w:jc w:val="both"/>
      </w:pPr>
      <w:r>
        <w:rPr>
          <w:sz w:val="20"/>
        </w:rPr>
        <w:t xml:space="preserve">(п. 5.13 в ред. </w:t>
      </w:r>
      <w:hyperlink w:history="0" r:id="rId183" w:tooltip="Постановление Правительства Пермского края от 20.10.2021 N 79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20.10.2021 N 793-п)</w:t>
      </w:r>
    </w:p>
    <w:p>
      <w:pPr>
        <w:pStyle w:val="0"/>
        <w:spacing w:before="200" w:line-rule="auto"/>
        <w:ind w:firstLine="540"/>
        <w:jc w:val="both"/>
      </w:pPr>
      <w:r>
        <w:rPr>
          <w:sz w:val="20"/>
        </w:rPr>
        <w:t xml:space="preserve">5.14. Объявления о дате и месте проведения заседания комиссии по отбору не позднее 2 рабочих дней до даты проведения заседания комиссии по отбору публикуются в информационно-телекоммуникационной сети "Интернет" на едином портале, на официальном сайте Агентства и на официальном сайте информационной поддержки субъектов малого и среднего предпринимательства по адресу: www.msppk.ru.</w:t>
      </w:r>
    </w:p>
    <w:p>
      <w:pPr>
        <w:pStyle w:val="0"/>
        <w:jc w:val="both"/>
      </w:pPr>
      <w:r>
        <w:rPr>
          <w:sz w:val="20"/>
        </w:rPr>
        <w:t xml:space="preserve">(в ред. Постановлений Правительства Пермского края от 16.09.2020 </w:t>
      </w:r>
      <w:hyperlink w:history="0" r:id="rId184" w:tooltip="Постановление Правительства Пермского края от 16.09.2020 N 688-п &quot;О внесении изменений в отдельные постановления Правительства Пермского края по вопросам развития малого и среднего предпринимательства&quot; {КонсультантПлюс}">
        <w:r>
          <w:rPr>
            <w:sz w:val="20"/>
            <w:color w:val="0000ff"/>
          </w:rPr>
          <w:t xml:space="preserve">N 688-п</w:t>
        </w:r>
      </w:hyperlink>
      <w:r>
        <w:rPr>
          <w:sz w:val="20"/>
        </w:rPr>
        <w:t xml:space="preserve">, от 30.12.2020 </w:t>
      </w:r>
      <w:hyperlink w:history="0" r:id="rId185" w:tooltip="Постановление Правительства Пермского края от 30.12.2020 N 1068-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1068-п</w:t>
        </w:r>
      </w:hyperlink>
      <w:r>
        <w:rPr>
          <w:sz w:val="20"/>
        </w:rPr>
        <w:t xml:space="preserve">)</w:t>
      </w:r>
    </w:p>
    <w:bookmarkStart w:id="348" w:name="P348"/>
    <w:bookmarkEnd w:id="348"/>
    <w:p>
      <w:pPr>
        <w:pStyle w:val="0"/>
        <w:spacing w:before="200" w:line-rule="auto"/>
        <w:ind w:firstLine="540"/>
        <w:jc w:val="both"/>
      </w:pPr>
      <w:r>
        <w:rPr>
          <w:sz w:val="20"/>
        </w:rPr>
        <w:t xml:space="preserve">5.14.1. Каждый член комиссии по отбору рассматривает и оценивает бизнес-проект (инвестиционный проект), представленный субъектом МСП, с присвоением баллов по каждому </w:t>
      </w:r>
      <w:hyperlink w:history="0" w:anchor="P1540" w:tooltip="КРИТЕРИИ ОЦЕНКИ">
        <w:r>
          <w:rPr>
            <w:sz w:val="20"/>
            <w:color w:val="0000ff"/>
          </w:rPr>
          <w:t xml:space="preserve">критерию</w:t>
        </w:r>
      </w:hyperlink>
      <w:r>
        <w:rPr>
          <w:sz w:val="20"/>
        </w:rPr>
        <w:t xml:space="preserve"> оценки бизнес-проекта (инвестиционного проекта) субъекта малого и среднего предпринимательства комиссией по отбору в соответствии с формой, установленной приложением 9 к настоящему Порядку.</w:t>
      </w:r>
    </w:p>
    <w:p>
      <w:pPr>
        <w:pStyle w:val="0"/>
        <w:spacing w:before="200" w:line-rule="auto"/>
        <w:ind w:firstLine="540"/>
        <w:jc w:val="both"/>
      </w:pPr>
      <w:r>
        <w:rPr>
          <w:sz w:val="20"/>
        </w:rPr>
        <w:t xml:space="preserve">Количество баллов, присваиваемых по каждому критерию оценки, определяется как среднее арифметическое оценок (в баллах) всех членов комиссии по отбору.</w:t>
      </w:r>
    </w:p>
    <w:p>
      <w:pPr>
        <w:pStyle w:val="0"/>
        <w:spacing w:before="200" w:line-rule="auto"/>
        <w:ind w:firstLine="540"/>
        <w:jc w:val="both"/>
      </w:pPr>
      <w:r>
        <w:rPr>
          <w:sz w:val="20"/>
        </w:rPr>
        <w:t xml:space="preserve">Итоговая оценка бизнес-проекта (инвестиционного проекта) определяется как сумма средних баллов, набранных по итогам оценки каждого члена комиссии по отбору по каждому критерию оценки, в том числе на основании представленной субъектом МСП презентации бизнес-проекта (инвестиционного проекта) (в устной форме, при необходимости с использованием мультимедийного оборудования) и ответов на вопросы членов комиссии по отбору.</w:t>
      </w:r>
    </w:p>
    <w:p>
      <w:pPr>
        <w:pStyle w:val="0"/>
        <w:spacing w:before="200" w:line-rule="auto"/>
        <w:ind w:firstLine="540"/>
        <w:jc w:val="both"/>
      </w:pPr>
      <w:r>
        <w:rPr>
          <w:sz w:val="20"/>
        </w:rPr>
        <w:t xml:space="preserve">Итоговая оценка формируется в итоговый оценочный </w:t>
      </w:r>
      <w:hyperlink w:history="0" w:anchor="P1653" w:tooltip="ИТОГОВЫЙ ОЦЕНОЧНЫЙ ЛИСТ">
        <w:r>
          <w:rPr>
            <w:sz w:val="20"/>
            <w:color w:val="0000ff"/>
          </w:rPr>
          <w:t xml:space="preserve">лист</w:t>
        </w:r>
      </w:hyperlink>
      <w:r>
        <w:rPr>
          <w:sz w:val="20"/>
        </w:rPr>
        <w:t xml:space="preserve"> бизнес-проектов (инвестиционных проектов) субъектов малого и среднего предпринимательства, представленных для получения субсидий на возмещение части затрат, связанных с осуществлением ими предпринимательской деятельности, по форме согласно приложению 10 к настоящему Порядку путем их ранжирования от наибольшего значения суммы набранных баллов к наименьшему (далее - итоговый лист).</w:t>
      </w:r>
    </w:p>
    <w:p>
      <w:pPr>
        <w:pStyle w:val="0"/>
        <w:spacing w:before="200" w:line-rule="auto"/>
        <w:ind w:firstLine="540"/>
        <w:jc w:val="both"/>
      </w:pPr>
      <w:r>
        <w:rPr>
          <w:sz w:val="20"/>
        </w:rPr>
        <w:t xml:space="preserve">После формирования итогового листа комиссией по отбору определяется пороговое значение балла исходя из последовательного суммирования указанных в нем размеров запрашиваемой субъектами МСП субсидии, начиная с бизнес-проекта (инвестиционного проекта), которому присвоен первый порядковый номер, до достижения полученного суммированием значения, равного или большего по отношению к значению объема бюджетных ассигнований, предусмотренных в сводной бюджетной росписи бюджета Пермского края на предоставление субсидий в текущем финансовом году. При этом, если в результате суммирования сумма размеров субсидии достигла значения, превышающего значение объема бюджетных ассигнований, пороговый балл определяется в размере итогового балла, присвоенного бизнес-проекту, которому присвоен предыдущий порядковый номер.</w:t>
      </w:r>
    </w:p>
    <w:p>
      <w:pPr>
        <w:pStyle w:val="0"/>
        <w:spacing w:before="200" w:line-rule="auto"/>
        <w:ind w:firstLine="540"/>
        <w:jc w:val="both"/>
      </w:pPr>
      <w:r>
        <w:rPr>
          <w:sz w:val="20"/>
        </w:rPr>
        <w:t xml:space="preserve">При равенстве суммы средних баллов, присвоенных бизнес-проектам (инвестиционным проектам) субъектов МСП, право на более высокий порядковый номер предоставляется субъекту МСП, заявка которого поступила раньше.</w:t>
      </w:r>
    </w:p>
    <w:p>
      <w:pPr>
        <w:pStyle w:val="0"/>
        <w:jc w:val="both"/>
      </w:pPr>
      <w:r>
        <w:rPr>
          <w:sz w:val="20"/>
        </w:rPr>
        <w:t xml:space="preserve">(п. 5.14.1 в ред. </w:t>
      </w:r>
      <w:hyperlink w:history="0" r:id="rId186" w:tooltip="Постановление Правительства Пермского края от 20.10.2021 N 79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20.10.2021 N 793-п)</w:t>
      </w:r>
    </w:p>
    <w:p>
      <w:pPr>
        <w:pStyle w:val="0"/>
        <w:spacing w:before="200" w:line-rule="auto"/>
        <w:ind w:firstLine="540"/>
        <w:jc w:val="both"/>
      </w:pPr>
      <w:r>
        <w:rPr>
          <w:sz w:val="20"/>
        </w:rPr>
        <w:t xml:space="preserve">5.14.2. Утратил силу. - </w:t>
      </w:r>
      <w:hyperlink w:history="0" r:id="rId187" w:tooltip="Постановление Правительства Пермского края от 20.10.2021 N 79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w:t>
        </w:r>
      </w:hyperlink>
      <w:r>
        <w:rPr>
          <w:sz w:val="20"/>
        </w:rPr>
        <w:t xml:space="preserve"> Правительства Пермского края от 20.10.2021 N 793-п.</w:t>
      </w:r>
    </w:p>
    <w:p>
      <w:pPr>
        <w:pStyle w:val="0"/>
        <w:spacing w:before="200" w:line-rule="auto"/>
        <w:ind w:firstLine="540"/>
        <w:jc w:val="both"/>
      </w:pPr>
      <w:r>
        <w:rPr>
          <w:sz w:val="20"/>
        </w:rPr>
        <w:t xml:space="preserve">5.14.3. Утратил силу. - </w:t>
      </w:r>
      <w:hyperlink w:history="0" r:id="rId188" w:tooltip="Постановление Правительства Пермского края от 24.12.2019 N 980-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w:t>
        </w:r>
      </w:hyperlink>
      <w:r>
        <w:rPr>
          <w:sz w:val="20"/>
        </w:rPr>
        <w:t xml:space="preserve"> Правительства Пермского края от 24.12.2019 N 980-п.</w:t>
      </w:r>
    </w:p>
    <w:p>
      <w:pPr>
        <w:pStyle w:val="0"/>
        <w:spacing w:before="200" w:line-rule="auto"/>
        <w:ind w:firstLine="540"/>
        <w:jc w:val="both"/>
      </w:pPr>
      <w:r>
        <w:rPr>
          <w:sz w:val="20"/>
        </w:rPr>
        <w:t xml:space="preserve">5.15. Субъекты МСП присутствуют на заседании комиссии по отбору с правом презентации своего бизнес-проекта (инвестиционного проекта) и предоставления пояснений по представленному бизнес-проекту (инвестиционному проекту). Присутствие субъекта МСП допускается в форме очного участия или участия посредством видео-конференц-связи, которое предусматривает рассмотрение информации участника конкурса по представленному бизнес-проекту (инвестиционному проекту), ответы на вопросы членов комиссии по отбору.</w:t>
      </w:r>
    </w:p>
    <w:p>
      <w:pPr>
        <w:pStyle w:val="0"/>
        <w:spacing w:before="200" w:line-rule="auto"/>
        <w:ind w:firstLine="540"/>
        <w:jc w:val="both"/>
      </w:pPr>
      <w:r>
        <w:rPr>
          <w:sz w:val="20"/>
        </w:rPr>
        <w:t xml:space="preserve">В случае неявки участника конкурсного отбора (или уполномоченного им лица) на заседание комиссии по отбору или невозможности, в том числе технической, участвовать в видео-конференц-связи представленная заявка рассматривается и оценивается без его участия.</w:t>
      </w:r>
    </w:p>
    <w:p>
      <w:pPr>
        <w:pStyle w:val="0"/>
        <w:jc w:val="both"/>
      </w:pPr>
      <w:r>
        <w:rPr>
          <w:sz w:val="20"/>
        </w:rPr>
        <w:t xml:space="preserve">(п. 5.15 в ред. </w:t>
      </w:r>
      <w:hyperlink w:history="0" r:id="rId189" w:tooltip="Постановление Правительства Пермского края от 20.10.2021 N 79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20.10.2021 N 793-п)</w:t>
      </w:r>
    </w:p>
    <w:p>
      <w:pPr>
        <w:pStyle w:val="0"/>
        <w:spacing w:before="200" w:line-rule="auto"/>
        <w:ind w:firstLine="540"/>
        <w:jc w:val="both"/>
      </w:pPr>
      <w:r>
        <w:rPr>
          <w:sz w:val="20"/>
        </w:rPr>
        <w:t xml:space="preserve">5.16. Результаты заседания комиссии по отбору оформляются протоколом не позднее 3 рабочих дней со дня проведения заседания комиссии по отбору.</w:t>
      </w:r>
    </w:p>
    <w:p>
      <w:pPr>
        <w:pStyle w:val="0"/>
        <w:jc w:val="both"/>
      </w:pPr>
      <w:r>
        <w:rPr>
          <w:sz w:val="20"/>
        </w:rPr>
        <w:t xml:space="preserve">(п. 5.16 в ред. </w:t>
      </w:r>
      <w:hyperlink w:history="0" r:id="rId190" w:tooltip="Постановление Правительства Пермского края от 20.10.2021 N 79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20.10.2021 N 793-п)</w:t>
      </w:r>
    </w:p>
    <w:bookmarkStart w:id="362" w:name="P362"/>
    <w:bookmarkEnd w:id="362"/>
    <w:p>
      <w:pPr>
        <w:pStyle w:val="0"/>
        <w:spacing w:before="200" w:line-rule="auto"/>
        <w:ind w:firstLine="540"/>
        <w:jc w:val="both"/>
      </w:pPr>
      <w:r>
        <w:rPr>
          <w:sz w:val="20"/>
        </w:rPr>
        <w:t xml:space="preserve">5.17. Протокол комиссии по отбору должен содержать:</w:t>
      </w:r>
    </w:p>
    <w:p>
      <w:pPr>
        <w:pStyle w:val="0"/>
        <w:spacing w:before="200" w:line-rule="auto"/>
        <w:ind w:firstLine="540"/>
        <w:jc w:val="both"/>
      </w:pPr>
      <w:r>
        <w:rPr>
          <w:sz w:val="20"/>
        </w:rPr>
        <w:t xml:space="preserve">дату, время и место проведения заседания комиссии по отбору;</w:t>
      </w:r>
    </w:p>
    <w:p>
      <w:pPr>
        <w:pStyle w:val="0"/>
        <w:spacing w:before="200" w:line-rule="auto"/>
        <w:ind w:firstLine="540"/>
        <w:jc w:val="both"/>
      </w:pPr>
      <w:r>
        <w:rPr>
          <w:sz w:val="20"/>
        </w:rPr>
        <w:t xml:space="preserve">информацию о субъектах МСП, бизнес-проекты (инвестиционные проекты) которых были рассмотрены;</w:t>
      </w:r>
    </w:p>
    <w:p>
      <w:pPr>
        <w:pStyle w:val="0"/>
        <w:spacing w:before="200" w:line-rule="auto"/>
        <w:ind w:firstLine="540"/>
        <w:jc w:val="both"/>
      </w:pPr>
      <w:r>
        <w:rPr>
          <w:sz w:val="20"/>
        </w:rPr>
        <w:t xml:space="preserve">перечень субъектов МСП, рекомендованных Агентству для включения в перечень победителей конкурсного отбора, с указанием наименования субъекта МСП, ИНН, балла, определенного в соответствии с </w:t>
      </w:r>
      <w:hyperlink w:history="0" w:anchor="P348" w:tooltip="5.14.1. Каждый член комиссии по отбору рассматривает и оценивает бизнес-проект (инвестиционный проект), представленный субъектом МСП, с присвоением баллов по каждому критерию оценки бизнес-проекта (инвестиционного проекта) субъекта малого и среднего предпринимательства комиссией по отбору в соответствии с формой, установленной приложением 9 к настоящему Порядку.">
        <w:r>
          <w:rPr>
            <w:sz w:val="20"/>
            <w:color w:val="0000ff"/>
          </w:rPr>
          <w:t xml:space="preserve">пунктом 15.14.1</w:t>
        </w:r>
      </w:hyperlink>
      <w:r>
        <w:rPr>
          <w:sz w:val="20"/>
        </w:rPr>
        <w:t xml:space="preserve"> настоящего Порядка, и размера запрашиваемой субсидии;</w:t>
      </w:r>
    </w:p>
    <w:p>
      <w:pPr>
        <w:pStyle w:val="0"/>
        <w:jc w:val="both"/>
      </w:pPr>
      <w:r>
        <w:rPr>
          <w:sz w:val="20"/>
        </w:rPr>
        <w:t xml:space="preserve">(в ред. </w:t>
      </w:r>
      <w:hyperlink w:history="0" r:id="rId191"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30.03.2023 N 222-п)</w:t>
      </w:r>
    </w:p>
    <w:p>
      <w:pPr>
        <w:pStyle w:val="0"/>
        <w:spacing w:before="200" w:line-rule="auto"/>
        <w:ind w:firstLine="540"/>
        <w:jc w:val="both"/>
      </w:pPr>
      <w:r>
        <w:rPr>
          <w:sz w:val="20"/>
        </w:rPr>
        <w:t xml:space="preserve">перечень субъектов МСП, не прошедших конкурсный отбор, с указанием наименования субъекта МСП, ИНН и балла, определенного в соответствии с </w:t>
      </w:r>
      <w:hyperlink w:history="0" w:anchor="P348" w:tooltip="5.14.1. Каждый член комиссии по отбору рассматривает и оценивает бизнес-проект (инвестиционный проект), представленный субъектом МСП, с присвоением баллов по каждому критерию оценки бизнес-проекта (инвестиционного проекта) субъекта малого и среднего предпринимательства комиссией по отбору в соответствии с формой, установленной приложением 9 к настоящему Порядку.">
        <w:r>
          <w:rPr>
            <w:sz w:val="20"/>
            <w:color w:val="0000ff"/>
          </w:rPr>
          <w:t xml:space="preserve">пунктом 15.14.1</w:t>
        </w:r>
      </w:hyperlink>
      <w:r>
        <w:rPr>
          <w:sz w:val="20"/>
        </w:rPr>
        <w:t xml:space="preserve"> настоящего Порядка;</w:t>
      </w:r>
    </w:p>
    <w:p>
      <w:pPr>
        <w:pStyle w:val="0"/>
        <w:spacing w:before="200" w:line-rule="auto"/>
        <w:ind w:firstLine="540"/>
        <w:jc w:val="both"/>
      </w:pPr>
      <w:r>
        <w:rPr>
          <w:sz w:val="20"/>
        </w:rPr>
        <w:t xml:space="preserve">результаты оценки бизнес-проектов (инвестиционных проектов), исходя из суммы средних баллов, присвоенных бизнес-проектам (инвестиционным проектам) согласно итоговому листу, в порядке ее уменьшения;</w:t>
      </w:r>
    </w:p>
    <w:p>
      <w:pPr>
        <w:pStyle w:val="0"/>
        <w:spacing w:before="200" w:line-rule="auto"/>
        <w:ind w:firstLine="540"/>
        <w:jc w:val="both"/>
      </w:pPr>
      <w:r>
        <w:rPr>
          <w:sz w:val="20"/>
        </w:rPr>
        <w:t xml:space="preserve">пороговое значение балла.</w:t>
      </w:r>
    </w:p>
    <w:p>
      <w:pPr>
        <w:pStyle w:val="0"/>
        <w:jc w:val="both"/>
      </w:pPr>
      <w:r>
        <w:rPr>
          <w:sz w:val="20"/>
        </w:rPr>
        <w:t xml:space="preserve">(п. 5.17 в ред. </w:t>
      </w:r>
      <w:hyperlink w:history="0" r:id="rId192" w:tooltip="Постановление Правительства Пермского края от 20.10.2021 N 79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20.10.2021 N 793-п)</w:t>
      </w:r>
    </w:p>
    <w:p>
      <w:pPr>
        <w:pStyle w:val="0"/>
        <w:spacing w:before="200" w:line-rule="auto"/>
        <w:ind w:firstLine="540"/>
        <w:jc w:val="both"/>
      </w:pPr>
      <w:r>
        <w:rPr>
          <w:sz w:val="20"/>
        </w:rPr>
        <w:t xml:space="preserve">5.17(1). В случае проведения нескольких заседаний комиссии по отбору протокол каждого заседания комиссии по отбору должен содержать дату, время, место проведения заседания и информацию о субъектах МСП, бизнес-проекты (инвестиционные проекты) которых были рассмотрены. Протокол заключительного заседания комиссии по отбору должен содержать информацию, установленную </w:t>
      </w:r>
      <w:hyperlink w:history="0" w:anchor="P362" w:tooltip="5.17. Протокол комиссии по отбору должен содержать:">
        <w:r>
          <w:rPr>
            <w:sz w:val="20"/>
            <w:color w:val="0000ff"/>
          </w:rPr>
          <w:t xml:space="preserve">пунктом 5.17</w:t>
        </w:r>
      </w:hyperlink>
      <w:r>
        <w:rPr>
          <w:sz w:val="20"/>
        </w:rPr>
        <w:t xml:space="preserve"> настоящего Порядка.</w:t>
      </w:r>
    </w:p>
    <w:p>
      <w:pPr>
        <w:pStyle w:val="0"/>
        <w:jc w:val="both"/>
      </w:pPr>
      <w:r>
        <w:rPr>
          <w:sz w:val="20"/>
        </w:rPr>
        <w:t xml:space="preserve">(п. 5.17(1) введен </w:t>
      </w:r>
      <w:hyperlink w:history="0" r:id="rId193"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Постановлением</w:t>
        </w:r>
      </w:hyperlink>
      <w:r>
        <w:rPr>
          <w:sz w:val="20"/>
        </w:rPr>
        <w:t xml:space="preserve"> Правительства Пермского края от 30.03.2023 N 222-п)</w:t>
      </w:r>
    </w:p>
    <w:bookmarkStart w:id="373" w:name="P373"/>
    <w:bookmarkEnd w:id="373"/>
    <w:p>
      <w:pPr>
        <w:pStyle w:val="0"/>
        <w:spacing w:before="200" w:line-rule="auto"/>
        <w:ind w:firstLine="540"/>
        <w:jc w:val="both"/>
      </w:pPr>
      <w:r>
        <w:rPr>
          <w:sz w:val="20"/>
        </w:rPr>
        <w:t xml:space="preserve">5.18. Агентство в течение 3 рабочих дней со дня оформления протокола комиссии по отбору публикует его в информационно-телекоммуникационной сети "Интернет" на едином портале, на официальном сайте Агентства, на официальном сайте информационной поддержки субъектов малого и среднего предпринимательства по адресу: www.msppk.ru.</w:t>
      </w:r>
    </w:p>
    <w:p>
      <w:pPr>
        <w:pStyle w:val="0"/>
        <w:jc w:val="both"/>
      </w:pPr>
      <w:r>
        <w:rPr>
          <w:sz w:val="20"/>
        </w:rPr>
        <w:t xml:space="preserve">(в ред. Постановлений Правительства Пермского края от 16.09.2020 </w:t>
      </w:r>
      <w:hyperlink w:history="0" r:id="rId194" w:tooltip="Постановление Правительства Пермского края от 16.09.2020 N 688-п &quot;О внесении изменений в отдельные постановления Правительства Пермского края по вопросам развития малого и среднего предпринимательства&quot; {КонсультантПлюс}">
        <w:r>
          <w:rPr>
            <w:sz w:val="20"/>
            <w:color w:val="0000ff"/>
          </w:rPr>
          <w:t xml:space="preserve">N 688-п</w:t>
        </w:r>
      </w:hyperlink>
      <w:r>
        <w:rPr>
          <w:sz w:val="20"/>
        </w:rPr>
        <w:t xml:space="preserve">, от 30.12.2020 </w:t>
      </w:r>
      <w:hyperlink w:history="0" r:id="rId195" w:tooltip="Постановление Правительства Пермского края от 30.12.2020 N 1068-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1068-п</w:t>
        </w:r>
      </w:hyperlink>
      <w:r>
        <w:rPr>
          <w:sz w:val="20"/>
        </w:rPr>
        <w:t xml:space="preserve">, от 30.03.2023 </w:t>
      </w:r>
      <w:hyperlink w:history="0" r:id="rId196"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222-п</w:t>
        </w:r>
      </w:hyperlink>
      <w:r>
        <w:rPr>
          <w:sz w:val="20"/>
        </w:rPr>
        <w:t xml:space="preserve">)</w:t>
      </w:r>
    </w:p>
    <w:bookmarkStart w:id="375" w:name="P375"/>
    <w:bookmarkEnd w:id="375"/>
    <w:p>
      <w:pPr>
        <w:pStyle w:val="0"/>
        <w:spacing w:before="200" w:line-rule="auto"/>
        <w:ind w:firstLine="540"/>
        <w:jc w:val="both"/>
      </w:pPr>
      <w:r>
        <w:rPr>
          <w:sz w:val="20"/>
        </w:rPr>
        <w:t xml:space="preserve">5.18(1). Агентство определяет победителей конкурсного отбора на основании протокола комиссии по отбору и при условии наличия у субъекта МСП оборудования, затраты на которое предъявляются к субсидированию.</w:t>
      </w:r>
    </w:p>
    <w:bookmarkStart w:id="376" w:name="P376"/>
    <w:bookmarkEnd w:id="376"/>
    <w:p>
      <w:pPr>
        <w:pStyle w:val="0"/>
        <w:spacing w:before="200" w:line-rule="auto"/>
        <w:ind w:firstLine="540"/>
        <w:jc w:val="both"/>
      </w:pPr>
      <w:r>
        <w:rPr>
          <w:sz w:val="20"/>
        </w:rPr>
        <w:t xml:space="preserve">В целях обследования наличия оборудования у субъектов МСП, рекомендованных комиссией по отбору для включения в перечень победителей конкурсного отбора, Агентство в течение 15 рабочих дней со дня оформления протокола комиссии по отбору осуществляет выездные мероприятия.</w:t>
      </w:r>
    </w:p>
    <w:bookmarkStart w:id="377" w:name="P377"/>
    <w:bookmarkEnd w:id="377"/>
    <w:p>
      <w:pPr>
        <w:pStyle w:val="0"/>
        <w:spacing w:before="200" w:line-rule="auto"/>
        <w:ind w:firstLine="540"/>
        <w:jc w:val="both"/>
      </w:pPr>
      <w:r>
        <w:rPr>
          <w:sz w:val="20"/>
        </w:rPr>
        <w:t xml:space="preserve">В случае непредоставления допуска сотрудникам Агентства к оборудованию для обследования наличия оборудования и составления акта обследования наличия оборудования и его монтажа, а также в случае отсутствия у субъекта МСП заявленного к субсидированию оборудования субъект МСП не может быть признан победителем конкурсного отбора.</w:t>
      </w:r>
    </w:p>
    <w:p>
      <w:pPr>
        <w:pStyle w:val="0"/>
        <w:spacing w:before="200" w:line-rule="auto"/>
        <w:ind w:firstLine="540"/>
        <w:jc w:val="both"/>
      </w:pPr>
      <w:r>
        <w:rPr>
          <w:sz w:val="20"/>
        </w:rPr>
        <w:t xml:space="preserve">По результатам выездных мероприятий Агентство в течение 2 рабочих дней со дня истечения срока, предусмотренного </w:t>
      </w:r>
      <w:hyperlink w:history="0" w:anchor="P376" w:tooltip="В целях обследования наличия оборудования у субъектов МСП, рекомендованных комиссией по отбору для включения в перечень победителей конкурсного отбора, Агентство в течение 15 рабочих дней со дня оформления протокола комиссии по отбору осуществляет выездные мероприятия.">
        <w:r>
          <w:rPr>
            <w:sz w:val="20"/>
            <w:color w:val="0000ff"/>
          </w:rPr>
          <w:t xml:space="preserve">абзацем вторым</w:t>
        </w:r>
      </w:hyperlink>
      <w:r>
        <w:rPr>
          <w:sz w:val="20"/>
        </w:rPr>
        <w:t xml:space="preserve"> настоящего пункта, оформляет и опубликовывает протокол, содержащий результаты обследования наличия оборудования и его монтажа, перечень субъектов МСП, не прошедших конкурсный отбор в случае, указанном в абзаце третьем настоящего пункта. Агентство публикует протокол в информационно-телекоммуникационной сети "Интернет" на официальном сайте Агентства и официальном сайте информационной поддержки субъектов МСП по адресу: www.msppk.ru.</w:t>
      </w:r>
    </w:p>
    <w:p>
      <w:pPr>
        <w:pStyle w:val="0"/>
        <w:spacing w:before="200" w:line-rule="auto"/>
        <w:ind w:firstLine="540"/>
        <w:jc w:val="both"/>
      </w:pPr>
      <w:r>
        <w:rPr>
          <w:sz w:val="20"/>
        </w:rPr>
        <w:t xml:space="preserve">Порядок составления акта обследования наличия оборудования и его монтажа утверждается приказом Агентства.</w:t>
      </w:r>
    </w:p>
    <w:p>
      <w:pPr>
        <w:pStyle w:val="0"/>
        <w:jc w:val="both"/>
      </w:pPr>
      <w:r>
        <w:rPr>
          <w:sz w:val="20"/>
        </w:rPr>
        <w:t xml:space="preserve">(п. 5.18(1) введен </w:t>
      </w:r>
      <w:hyperlink w:history="0" r:id="rId197"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Постановлением</w:t>
        </w:r>
      </w:hyperlink>
      <w:r>
        <w:rPr>
          <w:sz w:val="20"/>
        </w:rPr>
        <w:t xml:space="preserve"> Правительства Пермского края от 30.03.2023 N 222-п)</w:t>
      </w:r>
    </w:p>
    <w:bookmarkStart w:id="381" w:name="P381"/>
    <w:bookmarkEnd w:id="381"/>
    <w:p>
      <w:pPr>
        <w:pStyle w:val="0"/>
        <w:spacing w:before="200" w:line-rule="auto"/>
        <w:ind w:firstLine="540"/>
        <w:jc w:val="both"/>
      </w:pPr>
      <w:r>
        <w:rPr>
          <w:sz w:val="20"/>
        </w:rPr>
        <w:t xml:space="preserve">5.19. В срок не позднее 5 рабочих дней со дня оформления протокола, указанного в </w:t>
      </w:r>
      <w:hyperlink w:history="0" w:anchor="P375" w:tooltip="5.18(1). Агентство определяет победителей конкурсного отбора на основании протокола комиссии по отбору и при условии наличия у субъекта МСП оборудования, затраты на которое предъявляются к субсидированию.">
        <w:r>
          <w:rPr>
            <w:sz w:val="20"/>
            <w:color w:val="0000ff"/>
          </w:rPr>
          <w:t xml:space="preserve">пункте 5.18(1)</w:t>
        </w:r>
      </w:hyperlink>
      <w:r>
        <w:rPr>
          <w:sz w:val="20"/>
        </w:rPr>
        <w:t xml:space="preserve"> настоящего Порядка, и издает приказ об утверждении перечня победителей конкурсного отбора и размеров субсидии победителям конкурсного отбора и (или) перечня участников конкурсного отбора, которым отказано в предоставлении субсидии, с указанием основания отказа в соответствии с </w:t>
      </w:r>
      <w:hyperlink w:history="0" w:anchor="P387" w:tooltip="5.20. Основаниями для отказа в предоставлении субсидии Агентством являются:">
        <w:r>
          <w:rPr>
            <w:sz w:val="20"/>
            <w:color w:val="0000ff"/>
          </w:rPr>
          <w:t xml:space="preserve">пунктом 5.20</w:t>
        </w:r>
      </w:hyperlink>
      <w:r>
        <w:rPr>
          <w:sz w:val="20"/>
        </w:rPr>
        <w:t xml:space="preserve"> настоящего Порядка (далее - Приказ), публикует Приказ на едином портале, на официальном сайте Агентства и на официальном сайте информационной поддержки субъектов МСП по адресу www.msppk.ru в информационно-телекоммуникационной сети "Интернет" и обеспечивает заключение Соглашений.</w:t>
      </w:r>
    </w:p>
    <w:p>
      <w:pPr>
        <w:pStyle w:val="0"/>
        <w:jc w:val="both"/>
      </w:pPr>
      <w:r>
        <w:rPr>
          <w:sz w:val="20"/>
        </w:rPr>
        <w:t xml:space="preserve">(в ред. </w:t>
      </w:r>
      <w:hyperlink w:history="0" r:id="rId198"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30.03.2023 N 222-п)</w:t>
      </w:r>
    </w:p>
    <w:p>
      <w:pPr>
        <w:pStyle w:val="0"/>
        <w:spacing w:before="200" w:line-rule="auto"/>
        <w:ind w:firstLine="540"/>
        <w:jc w:val="both"/>
      </w:pPr>
      <w:r>
        <w:rPr>
          <w:sz w:val="20"/>
        </w:rPr>
        <w:t xml:space="preserve">Объем бюджетных ассигнований, предусмотренных в сводной бюджетной росписи бюджета Пермского края на предоставление субсидий в текущем финансовом году, распределяется между бизнес-проектами (инвестиционными проектами) в порядке уменьшения суммы присвоенных им баллов согласно итоговому листу, указанному в </w:t>
      </w:r>
      <w:hyperlink w:history="0" w:anchor="P348" w:tooltip="5.14.1. Каждый член комиссии по отбору рассматривает и оценивает бизнес-проект (инвестиционный проект), представленный субъектом МСП, с присвоением баллов по каждому критерию оценки бизнес-проекта (инвестиционного проекта) субъекта малого и среднего предпринимательства комиссией по отбору в соответствии с формой, установленной приложением 9 к настоящему Порядку.">
        <w:r>
          <w:rPr>
            <w:sz w:val="20"/>
            <w:color w:val="0000ff"/>
          </w:rPr>
          <w:t xml:space="preserve">пункте 5.14.1</w:t>
        </w:r>
      </w:hyperlink>
      <w:r>
        <w:rPr>
          <w:sz w:val="20"/>
        </w:rPr>
        <w:t xml:space="preserve"> настоящего Порядка.</w:t>
      </w:r>
    </w:p>
    <w:p>
      <w:pPr>
        <w:pStyle w:val="0"/>
        <w:jc w:val="both"/>
      </w:pPr>
      <w:r>
        <w:rPr>
          <w:sz w:val="20"/>
        </w:rPr>
        <w:t xml:space="preserve">(п. 5.19 в ред. </w:t>
      </w:r>
      <w:hyperlink w:history="0" r:id="rId199" w:tooltip="Постановление Правительства Пермского края от 20.10.2021 N 79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20.10.2021 N 793-п)</w:t>
      </w:r>
    </w:p>
    <w:p>
      <w:pPr>
        <w:pStyle w:val="0"/>
        <w:spacing w:before="200" w:line-rule="auto"/>
        <w:ind w:firstLine="540"/>
        <w:jc w:val="both"/>
      </w:pPr>
      <w:r>
        <w:rPr>
          <w:sz w:val="20"/>
        </w:rPr>
        <w:t xml:space="preserve">5.19(1). в случае отказа субъекта МСП, рекомендованного комиссией по отбору для включения в перечень победителей конкурсного отбора, от предоставления субсидии и (или) подписания соглашения о предоставлении субсидии, указанного в </w:t>
      </w:r>
      <w:hyperlink w:history="0" w:anchor="P399" w:tooltip="5.21. Субсидия предоставляется на основании соглашения о предоставлении субсидии (далее - Соглашение), заключенного между победителем конкурса (далее - получатель субсидии) и Агентством в соответствии с типовой формой, утвержденной Министерством финансов Пермского края.">
        <w:r>
          <w:rPr>
            <w:sz w:val="20"/>
            <w:color w:val="0000ff"/>
          </w:rPr>
          <w:t xml:space="preserve">пункте 5.21</w:t>
        </w:r>
      </w:hyperlink>
      <w:r>
        <w:rPr>
          <w:sz w:val="20"/>
        </w:rPr>
        <w:t xml:space="preserve"> настоящего Порядка, а также наличия субъектов МСП, признанных не прошедшими конкурсный отбор на основании, указанном в </w:t>
      </w:r>
      <w:hyperlink w:history="0" w:anchor="P377" w:tooltip="В случае непредоставления допуска сотрудникам Агентства к оборудованию для обследования наличия оборудования и составления акта обследования наличия оборудования и его монтажа, а также в случае отсутствия у субъекта МСП заявленного к субсидированию оборудования субъект МСП не может быть признан победителем конкурсного отбора.">
        <w:r>
          <w:rPr>
            <w:sz w:val="20"/>
            <w:color w:val="0000ff"/>
          </w:rPr>
          <w:t xml:space="preserve">абзаце третьем пункта 5.18(1)</w:t>
        </w:r>
      </w:hyperlink>
      <w:r>
        <w:rPr>
          <w:sz w:val="20"/>
        </w:rPr>
        <w:t xml:space="preserve"> настоящего Порядка, право на предоставление субсидии и заключение соглашения о предоставлении субсидии, указанного в </w:t>
      </w:r>
      <w:hyperlink w:history="0" w:anchor="P399" w:tooltip="5.21. Субсидия предоставляется на основании соглашения о предоставлении субсидии (далее - Соглашение), заключенного между победителем конкурса (далее - получатель субсидии) и Агентством в соответствии с типовой формой, утвержденной Министерством финансов Пермского края.">
        <w:r>
          <w:rPr>
            <w:sz w:val="20"/>
            <w:color w:val="0000ff"/>
          </w:rPr>
          <w:t xml:space="preserve">пункте 5.21</w:t>
        </w:r>
      </w:hyperlink>
      <w:r>
        <w:rPr>
          <w:sz w:val="20"/>
        </w:rPr>
        <w:t xml:space="preserve"> настоящего Порядка, предоставляется субъекту МСП, бизнес-проект которого занимает следующий порядковый номер согласно итоговому листу, сформированному комиссией по отбору в соответствии с </w:t>
      </w:r>
      <w:hyperlink w:history="0" w:anchor="P348" w:tooltip="5.14.1. Каждый член комиссии по отбору рассматривает и оценивает бизнес-проект (инвестиционный проект), представленный субъектом МСП, с присвоением баллов по каждому критерию оценки бизнес-проекта (инвестиционного проекта) субъекта малого и среднего предпринимательства комиссией по отбору в соответствии с формой, установленной приложением 9 к настоящему Порядку.">
        <w:r>
          <w:rPr>
            <w:sz w:val="20"/>
            <w:color w:val="0000ff"/>
          </w:rPr>
          <w:t xml:space="preserve">пунктом 5.14.1</w:t>
        </w:r>
      </w:hyperlink>
      <w:r>
        <w:rPr>
          <w:sz w:val="20"/>
        </w:rPr>
        <w:t xml:space="preserve"> настоящего Порядка, до полного распределения бюджетных ассигнований, предусмотренных в сводной бюджетной росписи бюджета Пермского края на текущий финансовый год.</w:t>
      </w:r>
    </w:p>
    <w:p>
      <w:pPr>
        <w:pStyle w:val="0"/>
        <w:jc w:val="both"/>
      </w:pPr>
      <w:r>
        <w:rPr>
          <w:sz w:val="20"/>
        </w:rPr>
        <w:t xml:space="preserve">(п. 5.19(1) введен </w:t>
      </w:r>
      <w:hyperlink w:history="0" r:id="rId200"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Постановлением</w:t>
        </w:r>
      </w:hyperlink>
      <w:r>
        <w:rPr>
          <w:sz w:val="20"/>
        </w:rPr>
        <w:t xml:space="preserve"> Правительства Пермского края от 30.03.2023 N 222-п)</w:t>
      </w:r>
    </w:p>
    <w:bookmarkStart w:id="387" w:name="P387"/>
    <w:bookmarkEnd w:id="387"/>
    <w:p>
      <w:pPr>
        <w:pStyle w:val="0"/>
        <w:spacing w:before="200" w:line-rule="auto"/>
        <w:ind w:firstLine="540"/>
        <w:jc w:val="both"/>
      </w:pPr>
      <w:r>
        <w:rPr>
          <w:sz w:val="20"/>
        </w:rPr>
        <w:t xml:space="preserve">5.20. Основаниями для отказа в предоставлении субсидии Агентством являются:</w:t>
      </w:r>
    </w:p>
    <w:p>
      <w:pPr>
        <w:pStyle w:val="0"/>
        <w:spacing w:before="200" w:line-rule="auto"/>
        <w:ind w:firstLine="540"/>
        <w:jc w:val="both"/>
      </w:pPr>
      <w:r>
        <w:rPr>
          <w:sz w:val="20"/>
        </w:rPr>
        <w:t xml:space="preserve">несоответствие представленных субъектом МСП заявки и документов требованиям к заявке и документам, установленным в объявлении об отборе, или непредставление (представление не в полном объеме) указанных документов;</w:t>
      </w:r>
    </w:p>
    <w:p>
      <w:pPr>
        <w:pStyle w:val="0"/>
        <w:spacing w:before="200" w:line-rule="auto"/>
        <w:ind w:firstLine="540"/>
        <w:jc w:val="both"/>
      </w:pPr>
      <w:r>
        <w:rPr>
          <w:sz w:val="20"/>
        </w:rPr>
        <w:t xml:space="preserve">включение субъекта МСП в перечень субъектов МСП, не прошедших конкурсный отбор, в соответствии с протоколом комиссии по отбору, указанным в </w:t>
      </w:r>
      <w:hyperlink w:history="0" w:anchor="P362" w:tooltip="5.17. Протокол комиссии по отбору должен содержать:">
        <w:r>
          <w:rPr>
            <w:sz w:val="20"/>
            <w:color w:val="0000ff"/>
          </w:rPr>
          <w:t xml:space="preserve">пункте 5.17</w:t>
        </w:r>
      </w:hyperlink>
      <w:r>
        <w:rPr>
          <w:sz w:val="20"/>
        </w:rPr>
        <w:t xml:space="preserve"> настоящего Порядка;</w:t>
      </w:r>
    </w:p>
    <w:p>
      <w:pPr>
        <w:pStyle w:val="0"/>
        <w:spacing w:before="200" w:line-rule="auto"/>
        <w:ind w:firstLine="540"/>
        <w:jc w:val="both"/>
      </w:pPr>
      <w:r>
        <w:rPr>
          <w:sz w:val="20"/>
        </w:rPr>
        <w:t xml:space="preserve">установление факта недостоверности представленной субъектом МСП информации;</w:t>
      </w:r>
    </w:p>
    <w:p>
      <w:pPr>
        <w:pStyle w:val="0"/>
        <w:spacing w:before="200" w:line-rule="auto"/>
        <w:ind w:firstLine="540"/>
        <w:jc w:val="both"/>
      </w:pPr>
      <w:r>
        <w:rPr>
          <w:sz w:val="20"/>
        </w:rPr>
        <w:t xml:space="preserve">непредоставление допуска сотрудникам Агентства к оборудованию, заявленному к субсидированию, или отсутствие указанного оборудования у субъекта МСП.</w:t>
      </w:r>
    </w:p>
    <w:p>
      <w:pPr>
        <w:pStyle w:val="0"/>
        <w:jc w:val="both"/>
      </w:pPr>
      <w:r>
        <w:rPr>
          <w:sz w:val="20"/>
        </w:rPr>
        <w:t xml:space="preserve">(абзац введен </w:t>
      </w:r>
      <w:hyperlink w:history="0" r:id="rId201"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Постановлением</w:t>
        </w:r>
      </w:hyperlink>
      <w:r>
        <w:rPr>
          <w:sz w:val="20"/>
        </w:rPr>
        <w:t xml:space="preserve"> Правительства Пермского края от 30.03.2023 N 222-п)</w:t>
      </w:r>
    </w:p>
    <w:p>
      <w:pPr>
        <w:pStyle w:val="0"/>
        <w:jc w:val="both"/>
      </w:pPr>
      <w:r>
        <w:rPr>
          <w:sz w:val="20"/>
        </w:rPr>
        <w:t xml:space="preserve">(п. 5.20 в ред. </w:t>
      </w:r>
      <w:hyperlink w:history="0" r:id="rId202" w:tooltip="Постановление Правительства Пермского края от 20.10.2021 N 79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20.10.2021 N 793-п)</w:t>
      </w:r>
    </w:p>
    <w:p>
      <w:pPr>
        <w:pStyle w:val="0"/>
        <w:spacing w:before="200" w:line-rule="auto"/>
        <w:ind w:firstLine="540"/>
        <w:jc w:val="both"/>
      </w:pPr>
      <w:r>
        <w:rPr>
          <w:sz w:val="20"/>
        </w:rPr>
        <w:t xml:space="preserve">5.20(1). В случае наличия остатка бюджетных ассигнований, доведенных Агентству на предоставление субсидий на текущий финансовый год, недостаточного для предоставления субсидии очередному бизнес-проекту (инвестиционному проекту) субъекта МСП, включенному в перечень субъектов МСП, прошедших конкурсный отбор, Агентство с письменного согласия субъекта МСП, направленного в адрес Агентства не позднее 2 рабочих дней со дня опубликования протокола комиссии по отбору, принимает решение о признании его победителем конкурсного отбора и предоставлении ему субсидии в размере такого остатка.</w:t>
      </w:r>
    </w:p>
    <w:p>
      <w:pPr>
        <w:pStyle w:val="0"/>
        <w:spacing w:before="200" w:line-rule="auto"/>
        <w:ind w:firstLine="540"/>
        <w:jc w:val="both"/>
      </w:pPr>
      <w:r>
        <w:rPr>
          <w:sz w:val="20"/>
        </w:rPr>
        <w:t xml:space="preserve">В случае получения от субъекта МСП отказа от предоставления субсидии Агентство письменно уведомляет следующего в рейтинге субъекта МСП согласно итоговому листу, сформированному комиссией по отбору в соответствии с </w:t>
      </w:r>
      <w:hyperlink w:history="0" w:anchor="P348" w:tooltip="5.14.1. Каждый член комиссии по отбору рассматривает и оценивает бизнес-проект (инвестиционный проект), представленный субъектом МСП, с присвоением баллов по каждому критерию оценки бизнес-проекта (инвестиционного проекта) субъекта малого и среднего предпринимательства комиссией по отбору в соответствии с формой, установленной приложением 9 к настоящему Порядку.">
        <w:r>
          <w:rPr>
            <w:sz w:val="20"/>
            <w:color w:val="0000ff"/>
          </w:rPr>
          <w:t xml:space="preserve">пунктом 5.14.1</w:t>
        </w:r>
      </w:hyperlink>
      <w:r>
        <w:rPr>
          <w:sz w:val="20"/>
        </w:rPr>
        <w:t xml:space="preserve"> настоящего Порядка, до полного распределения бюджетных ассигнований, предусмотренных в сводной бюджетной росписи бюджета Пермского края на текущий финансовый год.</w:t>
      </w:r>
    </w:p>
    <w:p>
      <w:pPr>
        <w:pStyle w:val="0"/>
        <w:spacing w:before="200" w:line-rule="auto"/>
        <w:ind w:firstLine="540"/>
        <w:jc w:val="both"/>
      </w:pPr>
      <w:r>
        <w:rPr>
          <w:sz w:val="20"/>
        </w:rPr>
        <w:t xml:space="preserve">В случае наличия нераспределенных бюджетных ассигнований, предусмотренных в сводной бюджетной росписи бюджета Пермского края, предусмотренных Агентству для предоставления субсидии в текущем финансовом году, Агентство в течение 3 рабочих дней со дня установления указанных обстоятельств размещает в информационно-телекоммуникационной сети "Интернет" на едином портале, на официальном сайте Агентства и официальном сайте информационной поддержки субъектов МСП по адресу www.msppk.ru объявление о проведении дополнительного конкурсного отбора в порядке и сроки, установленные настоящим разделом.</w:t>
      </w:r>
    </w:p>
    <w:p>
      <w:pPr>
        <w:pStyle w:val="0"/>
        <w:spacing w:before="200" w:line-rule="auto"/>
        <w:ind w:firstLine="540"/>
        <w:jc w:val="both"/>
      </w:pPr>
      <w:r>
        <w:rPr>
          <w:sz w:val="20"/>
        </w:rPr>
        <w:t xml:space="preserve">Субсидии перечисляются в порядке, установленном </w:t>
      </w:r>
      <w:hyperlink w:history="0" w:anchor="P421" w:tooltip="5.22. Субсидии предоставляются в полном объеме путем перечисления на расчетные счета получателей субсидии, открытые получателям субсидий в учреждениях Центрального банка Российской Федерации или кредитных организациях, не позднее десятого рабочего дня, следующего за днем издания приказа, указанного в пункте 5.19 настоящего Порядка.">
        <w:r>
          <w:rPr>
            <w:sz w:val="20"/>
            <w:color w:val="0000ff"/>
          </w:rPr>
          <w:t xml:space="preserve">пунктом 5.22</w:t>
        </w:r>
      </w:hyperlink>
      <w:r>
        <w:rPr>
          <w:sz w:val="20"/>
        </w:rPr>
        <w:t xml:space="preserve"> настоящего Порядка.</w:t>
      </w:r>
    </w:p>
    <w:p>
      <w:pPr>
        <w:pStyle w:val="0"/>
        <w:jc w:val="both"/>
      </w:pPr>
      <w:r>
        <w:rPr>
          <w:sz w:val="20"/>
        </w:rPr>
        <w:t xml:space="preserve">(п. 5.20(1) введен </w:t>
      </w:r>
      <w:hyperlink w:history="0" r:id="rId203" w:tooltip="Постановление Правительства Пермского края от 20.10.2021 N 79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Постановлением</w:t>
        </w:r>
      </w:hyperlink>
      <w:r>
        <w:rPr>
          <w:sz w:val="20"/>
        </w:rPr>
        <w:t xml:space="preserve"> Правительства Пермского края от 20.10.2021 N 793-п)</w:t>
      </w:r>
    </w:p>
    <w:bookmarkStart w:id="399" w:name="P399"/>
    <w:bookmarkEnd w:id="399"/>
    <w:p>
      <w:pPr>
        <w:pStyle w:val="0"/>
        <w:spacing w:before="200" w:line-rule="auto"/>
        <w:ind w:firstLine="540"/>
        <w:jc w:val="both"/>
      </w:pPr>
      <w:r>
        <w:rPr>
          <w:sz w:val="20"/>
        </w:rPr>
        <w:t xml:space="preserve">5.21. Субсидия предоставляется на основании соглашения о предоставлении субсидии (далее - Соглашение), заключенного между победителем конкурса (далее - получатель субсидии) и Агентством в соответствии с типовой формой, утвержденной Министерством финансов Пермского края.</w:t>
      </w:r>
    </w:p>
    <w:p>
      <w:pPr>
        <w:pStyle w:val="0"/>
        <w:jc w:val="both"/>
      </w:pPr>
      <w:r>
        <w:rPr>
          <w:sz w:val="20"/>
        </w:rPr>
        <w:t xml:space="preserve">(в ред. </w:t>
      </w:r>
      <w:hyperlink w:history="0" r:id="rId204" w:tooltip="Постановление Правительства Пермского края от 16.09.2020 N 688-п &quot;О внесении изменений в отдельные постановления Правительства Пермского края по вопросам развития малого и среднего предпринимательства&quot; {КонсультантПлюс}">
        <w:r>
          <w:rPr>
            <w:sz w:val="20"/>
            <w:color w:val="0000ff"/>
          </w:rPr>
          <w:t xml:space="preserve">Постановления</w:t>
        </w:r>
      </w:hyperlink>
      <w:r>
        <w:rPr>
          <w:sz w:val="20"/>
        </w:rPr>
        <w:t xml:space="preserve"> Правительства Пермского края от 16.09.2020 N 688-п)</w:t>
      </w:r>
    </w:p>
    <w:p>
      <w:pPr>
        <w:pStyle w:val="0"/>
        <w:spacing w:before="200" w:line-rule="auto"/>
        <w:ind w:firstLine="540"/>
        <w:jc w:val="both"/>
      </w:pPr>
      <w:r>
        <w:rPr>
          <w:sz w:val="20"/>
        </w:rPr>
        <w:t xml:space="preserve">Условиями Соглашения являются:</w:t>
      </w:r>
    </w:p>
    <w:p>
      <w:pPr>
        <w:pStyle w:val="0"/>
        <w:spacing w:before="200" w:line-rule="auto"/>
        <w:ind w:firstLine="540"/>
        <w:jc w:val="both"/>
      </w:pPr>
      <w:r>
        <w:rPr>
          <w:sz w:val="20"/>
        </w:rPr>
        <w:t xml:space="preserve">размер субсидии;</w:t>
      </w:r>
    </w:p>
    <w:p>
      <w:pPr>
        <w:pStyle w:val="0"/>
        <w:spacing w:before="200" w:line-rule="auto"/>
        <w:ind w:firstLine="540"/>
        <w:jc w:val="both"/>
      </w:pPr>
      <w:r>
        <w:rPr>
          <w:sz w:val="20"/>
        </w:rPr>
        <w:t xml:space="preserve">условия предоставления субсидии;</w:t>
      </w:r>
    </w:p>
    <w:p>
      <w:pPr>
        <w:pStyle w:val="0"/>
        <w:spacing w:before="200" w:line-rule="auto"/>
        <w:ind w:firstLine="540"/>
        <w:jc w:val="both"/>
      </w:pPr>
      <w:r>
        <w:rPr>
          <w:sz w:val="20"/>
        </w:rPr>
        <w:t xml:space="preserve">целевое назначение субсидии;</w:t>
      </w:r>
    </w:p>
    <w:p>
      <w:pPr>
        <w:pStyle w:val="0"/>
        <w:spacing w:before="200" w:line-rule="auto"/>
        <w:ind w:firstLine="540"/>
        <w:jc w:val="both"/>
      </w:pPr>
      <w:r>
        <w:rPr>
          <w:sz w:val="20"/>
        </w:rPr>
        <w:t xml:space="preserve">значения результатов предоставления субсидии;</w:t>
      </w:r>
    </w:p>
    <w:p>
      <w:pPr>
        <w:pStyle w:val="0"/>
        <w:jc w:val="both"/>
      </w:pPr>
      <w:r>
        <w:rPr>
          <w:sz w:val="20"/>
        </w:rPr>
        <w:t xml:space="preserve">(в ред. </w:t>
      </w:r>
      <w:hyperlink w:history="0" r:id="rId205" w:tooltip="Постановление Правительства Пермского края от 24.12.2019 N 980-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24.12.2019 N 980-п)</w:t>
      </w:r>
    </w:p>
    <w:p>
      <w:pPr>
        <w:pStyle w:val="0"/>
        <w:spacing w:before="200" w:line-rule="auto"/>
        <w:ind w:firstLine="540"/>
        <w:jc w:val="both"/>
      </w:pPr>
      <w:r>
        <w:rPr>
          <w:sz w:val="20"/>
        </w:rPr>
        <w:t xml:space="preserve">права и обязанности сторон;</w:t>
      </w:r>
    </w:p>
    <w:p>
      <w:pPr>
        <w:pStyle w:val="0"/>
        <w:spacing w:before="200" w:line-rule="auto"/>
        <w:ind w:firstLine="540"/>
        <w:jc w:val="both"/>
      </w:pPr>
      <w:r>
        <w:rPr>
          <w:sz w:val="20"/>
        </w:rPr>
        <w:t xml:space="preserve">согласие получателя субсидии на осуществление Агентством проверок соблюдения получателем субсидии условий и порядка предоставления субсидии, в том числе в части достижения результата, а также на осуществление органами государственного финансового контроля проверок соблюдения получателем субсидии условий и порядка предоставления субсидий в соответствии со </w:t>
      </w:r>
      <w:hyperlink w:history="0" r:id="rId206" w:tooltip="&quot;Бюджетный кодекс Российской Федерации&quot; от 31.07.1998 N 145-ФЗ (ред. от 28.12.2022) (с изм. и доп., вступ. в силу с 01.01.2023) ------------ Недействующая редакция {КонсультантПлюс}">
        <w:r>
          <w:rPr>
            <w:sz w:val="20"/>
            <w:color w:val="0000ff"/>
          </w:rPr>
          <w:t xml:space="preserve">статьями 268.1</w:t>
        </w:r>
      </w:hyperlink>
      <w:r>
        <w:rPr>
          <w:sz w:val="20"/>
        </w:rPr>
        <w:t xml:space="preserve"> и </w:t>
      </w:r>
      <w:hyperlink w:history="0" r:id="rId207" w:tooltip="&quot;Бюджетный кодекс Российской Федерации&quot; от 31.07.1998 N 145-ФЗ (ред. от 28.12.2022) (с изм. и доп., вступ. в силу с 01.01.2023) ------------ Недействующая редакция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Постановлений Правительства Пермского края от 07.04.2022 </w:t>
      </w:r>
      <w:hyperlink w:history="0" r:id="rId208" w:tooltip="Постановление Правительства Пермского края от 07.04.2022 N 285-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285-п</w:t>
        </w:r>
      </w:hyperlink>
      <w:r>
        <w:rPr>
          <w:sz w:val="20"/>
        </w:rPr>
        <w:t xml:space="preserve">, от 30.03.2023 </w:t>
      </w:r>
      <w:hyperlink w:history="0" r:id="rId209"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222-п</w:t>
        </w:r>
      </w:hyperlink>
      <w:r>
        <w:rPr>
          <w:sz w:val="20"/>
        </w:rPr>
        <w:t xml:space="preserve">)</w:t>
      </w:r>
    </w:p>
    <w:p>
      <w:pPr>
        <w:pStyle w:val="0"/>
        <w:spacing w:before="200" w:line-rule="auto"/>
        <w:ind w:firstLine="540"/>
        <w:jc w:val="both"/>
      </w:pPr>
      <w:r>
        <w:rPr>
          <w:sz w:val="20"/>
        </w:rPr>
        <w:t xml:space="preserve">абзац утратил силу. - </w:t>
      </w:r>
      <w:hyperlink w:history="0" r:id="rId210" w:tooltip="Постановление Правительства Пермского края от 24.12.2019 N 980-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w:t>
        </w:r>
      </w:hyperlink>
      <w:r>
        <w:rPr>
          <w:sz w:val="20"/>
        </w:rPr>
        <w:t xml:space="preserve"> Правительства Пермского края от 24.12.2019 N 980-п;</w:t>
      </w:r>
    </w:p>
    <w:p>
      <w:pPr>
        <w:pStyle w:val="0"/>
        <w:spacing w:before="200" w:line-rule="auto"/>
        <w:ind w:firstLine="540"/>
        <w:jc w:val="both"/>
      </w:pPr>
      <w:r>
        <w:rPr>
          <w:sz w:val="20"/>
        </w:rPr>
        <w:t xml:space="preserve">порядок и сроки возврата субсидии в случае нарушения условий, установленных при предоставлении субсидии в соответствии с настоящим Порядком и (или) Соглашением;</w:t>
      </w:r>
    </w:p>
    <w:p>
      <w:pPr>
        <w:pStyle w:val="0"/>
        <w:spacing w:before="200" w:line-rule="auto"/>
        <w:ind w:firstLine="540"/>
        <w:jc w:val="both"/>
      </w:pPr>
      <w:r>
        <w:rPr>
          <w:sz w:val="20"/>
        </w:rPr>
        <w:t xml:space="preserve">срок действия Соглашения;</w:t>
      </w:r>
    </w:p>
    <w:p>
      <w:pPr>
        <w:pStyle w:val="0"/>
        <w:spacing w:before="200" w:line-rule="auto"/>
        <w:ind w:firstLine="540"/>
        <w:jc w:val="both"/>
      </w:pPr>
      <w:r>
        <w:rPr>
          <w:sz w:val="20"/>
        </w:rPr>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Агентству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0"/>
        <w:jc w:val="both"/>
      </w:pPr>
      <w:r>
        <w:rPr>
          <w:sz w:val="20"/>
        </w:rPr>
        <w:t xml:space="preserve">(абзац введен </w:t>
      </w:r>
      <w:hyperlink w:history="0" r:id="rId211" w:tooltip="Постановление Правительства Пермского края от 30.12.2020 N 1068-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Постановлением</w:t>
        </w:r>
      </w:hyperlink>
      <w:r>
        <w:rPr>
          <w:sz w:val="20"/>
        </w:rPr>
        <w:t xml:space="preserve"> Правительства Пермского края от 30.12.2020 N 1068-п)</w:t>
      </w:r>
    </w:p>
    <w:p>
      <w:pPr>
        <w:pStyle w:val="0"/>
        <w:spacing w:before="200" w:line-rule="auto"/>
        <w:ind w:firstLine="540"/>
        <w:jc w:val="both"/>
      </w:pPr>
      <w:r>
        <w:rPr>
          <w:sz w:val="20"/>
        </w:rPr>
        <w:t xml:space="preserve">Агентство осуществляет подготовку проекта соглашения в 2 экземплярах и направляет его любым доступным способом (в том числе в электронном виде посредством электронной связи) получателю субсидии для подписания.</w:t>
      </w:r>
    </w:p>
    <w:p>
      <w:pPr>
        <w:pStyle w:val="0"/>
        <w:jc w:val="both"/>
      </w:pPr>
      <w:r>
        <w:rPr>
          <w:sz w:val="20"/>
        </w:rPr>
        <w:t xml:space="preserve">(абзац введен </w:t>
      </w:r>
      <w:hyperlink w:history="0" r:id="rId212" w:tooltip="Постановление Правительства Пермского края от 30.12.2020 N 1068-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Постановлением</w:t>
        </w:r>
      </w:hyperlink>
      <w:r>
        <w:rPr>
          <w:sz w:val="20"/>
        </w:rPr>
        <w:t xml:space="preserve"> Правительства Пермского края от 30.12.2020 N 1068-п)</w:t>
      </w:r>
    </w:p>
    <w:p>
      <w:pPr>
        <w:pStyle w:val="0"/>
        <w:spacing w:before="200" w:line-rule="auto"/>
        <w:ind w:firstLine="540"/>
        <w:jc w:val="both"/>
      </w:pPr>
      <w:r>
        <w:rPr>
          <w:sz w:val="20"/>
        </w:rPr>
        <w:t xml:space="preserve">Получатели субсидии в течение 3 рабочих дней со дня получения проекта соглашения подписывают его, скрепляют печатью и представляют в Агентство два экземпляра Соглашения.</w:t>
      </w:r>
    </w:p>
    <w:p>
      <w:pPr>
        <w:pStyle w:val="0"/>
        <w:jc w:val="both"/>
      </w:pPr>
      <w:r>
        <w:rPr>
          <w:sz w:val="20"/>
        </w:rPr>
        <w:t xml:space="preserve">(абзац введен </w:t>
      </w:r>
      <w:hyperlink w:history="0" r:id="rId213" w:tooltip="Постановление Правительства Пермского края от 30.12.2020 N 1068-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Постановлением</w:t>
        </w:r>
      </w:hyperlink>
      <w:r>
        <w:rPr>
          <w:sz w:val="20"/>
        </w:rPr>
        <w:t xml:space="preserve"> Правительства Пермского края от 30.12.2020 N 1068-п)</w:t>
      </w:r>
    </w:p>
    <w:p>
      <w:pPr>
        <w:pStyle w:val="0"/>
        <w:spacing w:before="200" w:line-rule="auto"/>
        <w:ind w:firstLine="540"/>
        <w:jc w:val="both"/>
      </w:pPr>
      <w:r>
        <w:rPr>
          <w:sz w:val="20"/>
        </w:rPr>
        <w:t xml:space="preserve">В случае если получатели субсидии не представили подписанное Соглашение в течение 3 рабочих дней с даты его получения, они считаются уклонившимися от получения субсидии и теряют право получения субсидии в рамках конкурсного отбора.</w:t>
      </w:r>
    </w:p>
    <w:p>
      <w:pPr>
        <w:pStyle w:val="0"/>
        <w:jc w:val="both"/>
      </w:pPr>
      <w:r>
        <w:rPr>
          <w:sz w:val="20"/>
        </w:rPr>
        <w:t xml:space="preserve">(абзац введен </w:t>
      </w:r>
      <w:hyperlink w:history="0" r:id="rId214" w:tooltip="Постановление Правительства Пермского края от 30.12.2020 N 1068-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Постановлением</w:t>
        </w:r>
      </w:hyperlink>
      <w:r>
        <w:rPr>
          <w:sz w:val="20"/>
        </w:rPr>
        <w:t xml:space="preserve"> Правительства Пермского края от 30.12.2020 N 1068-п)</w:t>
      </w:r>
    </w:p>
    <w:bookmarkStart w:id="421" w:name="P421"/>
    <w:bookmarkEnd w:id="421"/>
    <w:p>
      <w:pPr>
        <w:pStyle w:val="0"/>
        <w:spacing w:before="200" w:line-rule="auto"/>
        <w:ind w:firstLine="540"/>
        <w:jc w:val="both"/>
      </w:pPr>
      <w:r>
        <w:rPr>
          <w:sz w:val="20"/>
        </w:rPr>
        <w:t xml:space="preserve">5.22. Субсидии предоставляются в полном объеме путем перечисления на расчетные счета получателей субсидии, открытые получателям субсидий в учреждениях Центрального банка Российской Федерации или кредитных организациях, не позднее десятого рабочего дня, следующего за днем издания приказа, указанного в </w:t>
      </w:r>
      <w:hyperlink w:history="0" w:anchor="P381" w:tooltip="5.19. В срок не позднее 5 рабочих дней со дня оформления протокола, указанного в пункте 5.18(1) настоящего Порядка, и издает приказ об утверждении перечня победителей конкурсного отбора и размеров субсидии победителям конкурсного отбора и (или) перечня участников конкурсного отбора, которым отказано в предоставлении субсидии, с указанием основания отказа в соответствии с пунктом 5.20 настоящего Порядка (далее - Приказ), публикует Приказ на едином портале, на официальном сайте Агентства и на официальном с...">
        <w:r>
          <w:rPr>
            <w:sz w:val="20"/>
            <w:color w:val="0000ff"/>
          </w:rPr>
          <w:t xml:space="preserve">пункте 5.19</w:t>
        </w:r>
      </w:hyperlink>
      <w:r>
        <w:rPr>
          <w:sz w:val="20"/>
        </w:rPr>
        <w:t xml:space="preserve"> настоящего Порядка.</w:t>
      </w:r>
    </w:p>
    <w:p>
      <w:pPr>
        <w:pStyle w:val="0"/>
        <w:jc w:val="both"/>
      </w:pPr>
      <w:r>
        <w:rPr>
          <w:sz w:val="20"/>
        </w:rPr>
        <w:t xml:space="preserve">(в ред. </w:t>
      </w:r>
      <w:hyperlink w:history="0" r:id="rId215" w:tooltip="Постановление Правительства Пермского края от 20.10.2021 N 79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20.10.2021 N 793-п)</w:t>
      </w:r>
    </w:p>
    <w:p>
      <w:pPr>
        <w:pStyle w:val="0"/>
        <w:spacing w:before="200" w:line-rule="auto"/>
        <w:ind w:firstLine="540"/>
        <w:jc w:val="both"/>
      </w:pPr>
      <w:r>
        <w:rPr>
          <w:sz w:val="20"/>
        </w:rPr>
        <w:t xml:space="preserve">5.23. В случае необходимости в Соглашение могут быть внесены изменения путем заключения дополнительного соглашения к Соглашению, в том числе дополнительного соглашения о расторжении Соглашения (при необходимости) (далее - Дополнительное соглашение), между получателем субсидии и Агентством, которое заключается в соответствии с типовой формой, утвержденной Министерством финансов Пермского края.</w:t>
      </w:r>
    </w:p>
    <w:p>
      <w:pPr>
        <w:pStyle w:val="0"/>
        <w:jc w:val="both"/>
      </w:pPr>
      <w:r>
        <w:rPr>
          <w:sz w:val="20"/>
        </w:rPr>
        <w:t xml:space="preserve">(в ред. </w:t>
      </w:r>
      <w:hyperlink w:history="0" r:id="rId216" w:tooltip="Постановление Правительства Пермского края от 20.10.2021 N 79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20.10.2021 N 793-п)</w:t>
      </w:r>
    </w:p>
    <w:p>
      <w:pPr>
        <w:pStyle w:val="0"/>
        <w:spacing w:before="200" w:line-rule="auto"/>
        <w:ind w:firstLine="540"/>
        <w:jc w:val="both"/>
      </w:pPr>
      <w:r>
        <w:rPr>
          <w:sz w:val="20"/>
        </w:rPr>
        <w:t xml:space="preserve">Дополнительное соглашение заключается в следующем порядке:</w:t>
      </w:r>
    </w:p>
    <w:p>
      <w:pPr>
        <w:pStyle w:val="0"/>
        <w:spacing w:before="200" w:line-rule="auto"/>
        <w:ind w:firstLine="540"/>
        <w:jc w:val="both"/>
      </w:pPr>
      <w:r>
        <w:rPr>
          <w:sz w:val="20"/>
        </w:rPr>
        <w:t xml:space="preserve">Агентство в течение 7 рабочих дней со дня выявления обстоятельств, влекущих за собой необходимость внесения изменений в Соглашение, направляет получателю субсидии подписанное Дополнительное соглашение в двух экземплярах для подписания;</w:t>
      </w:r>
    </w:p>
    <w:p>
      <w:pPr>
        <w:pStyle w:val="0"/>
        <w:spacing w:before="200" w:line-rule="auto"/>
        <w:ind w:firstLine="540"/>
        <w:jc w:val="both"/>
      </w:pPr>
      <w:r>
        <w:rPr>
          <w:sz w:val="20"/>
        </w:rPr>
        <w:t xml:space="preserve">получатель субсидии в течение 7 рабочих дней со дня получения Дополнительного соглашения представляет в Агентство подписанное Дополнительное соглашение в двух экземплярах.</w:t>
      </w:r>
    </w:p>
    <w:p>
      <w:pPr>
        <w:pStyle w:val="0"/>
        <w:jc w:val="both"/>
      </w:pPr>
      <w:r>
        <w:rPr>
          <w:sz w:val="20"/>
        </w:rPr>
        <w:t xml:space="preserve">(п. 5.23 введен </w:t>
      </w:r>
      <w:hyperlink w:history="0" r:id="rId217" w:tooltip="Постановление Правительства Пермского края от 16.09.2020 N 688-п &quot;О внесении изменений в отдельные постановления Правительства Пермского края по вопросам развития малого и среднего предпринимательства&quot; {КонсультантПлюс}">
        <w:r>
          <w:rPr>
            <w:sz w:val="20"/>
            <w:color w:val="0000ff"/>
          </w:rPr>
          <w:t xml:space="preserve">Постановлением</w:t>
        </w:r>
      </w:hyperlink>
      <w:r>
        <w:rPr>
          <w:sz w:val="20"/>
        </w:rPr>
        <w:t xml:space="preserve"> Правительства Пермского края от 16.09.2020 N 688-п)</w:t>
      </w:r>
    </w:p>
    <w:p>
      <w:pPr>
        <w:pStyle w:val="0"/>
        <w:jc w:val="both"/>
      </w:pPr>
      <w:r>
        <w:rPr>
          <w:sz w:val="20"/>
        </w:rPr>
      </w:r>
    </w:p>
    <w:p>
      <w:pPr>
        <w:pStyle w:val="2"/>
        <w:outlineLvl w:val="1"/>
        <w:jc w:val="center"/>
      </w:pPr>
      <w:r>
        <w:rPr>
          <w:sz w:val="20"/>
        </w:rPr>
        <w:t xml:space="preserve">VI. Контроль (мониторинг), требования к отчетности,</w:t>
      </w:r>
    </w:p>
    <w:p>
      <w:pPr>
        <w:pStyle w:val="2"/>
        <w:jc w:val="center"/>
      </w:pPr>
      <w:r>
        <w:rPr>
          <w:sz w:val="20"/>
        </w:rPr>
        <w:t xml:space="preserve">возврат субсидии</w:t>
      </w:r>
    </w:p>
    <w:p>
      <w:pPr>
        <w:pStyle w:val="0"/>
        <w:jc w:val="center"/>
      </w:pPr>
      <w:r>
        <w:rPr>
          <w:sz w:val="20"/>
        </w:rPr>
        <w:t xml:space="preserve">(в ред. </w:t>
      </w:r>
      <w:hyperlink w:history="0" r:id="rId218" w:tooltip="Постановление Правительства Пермского края от 20.10.2021 N 79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w:t>
      </w:r>
    </w:p>
    <w:p>
      <w:pPr>
        <w:pStyle w:val="0"/>
        <w:jc w:val="center"/>
      </w:pPr>
      <w:r>
        <w:rPr>
          <w:sz w:val="20"/>
        </w:rPr>
        <w:t xml:space="preserve">от 20.10.2021 N 793-п)</w:t>
      </w:r>
    </w:p>
    <w:p>
      <w:pPr>
        <w:pStyle w:val="0"/>
        <w:jc w:val="both"/>
      </w:pPr>
      <w:r>
        <w:rPr>
          <w:sz w:val="20"/>
        </w:rPr>
      </w:r>
    </w:p>
    <w:p>
      <w:pPr>
        <w:pStyle w:val="0"/>
        <w:ind w:firstLine="540"/>
        <w:jc w:val="both"/>
      </w:pPr>
      <w:r>
        <w:rPr>
          <w:sz w:val="20"/>
        </w:rPr>
        <w:t xml:space="preserve">6.1. Агентство в пределах своих полномочий проводит проверку соблюдения получателями субсидий порядка и условий предоставления субсидий, установленных Соглашением и (или) настоящим Порядком, в том числе в части достижения результатов предоставления субсидий.</w:t>
      </w:r>
    </w:p>
    <w:p>
      <w:pPr>
        <w:pStyle w:val="0"/>
        <w:spacing w:before="200" w:line-rule="auto"/>
        <w:ind w:firstLine="540"/>
        <w:jc w:val="both"/>
      </w:pPr>
      <w:r>
        <w:rPr>
          <w:sz w:val="20"/>
        </w:rPr>
        <w:t xml:space="preserve">Органы государственного финансового контроля в пределах своих полномочий проводят проверку в соответствии со </w:t>
      </w:r>
      <w:hyperlink w:history="0" r:id="rId219" w:tooltip="&quot;Бюджетный кодекс Российской Федерации&quot; от 31.07.1998 N 145-ФЗ (ред. от 28.12.2022) (с изм. и доп., вступ. в силу с 01.01.2023) ------------ Недействующая редакция {КонсультантПлюс}">
        <w:r>
          <w:rPr>
            <w:sz w:val="20"/>
            <w:color w:val="0000ff"/>
          </w:rPr>
          <w:t xml:space="preserve">статьями 268.1</w:t>
        </w:r>
      </w:hyperlink>
      <w:r>
        <w:rPr>
          <w:sz w:val="20"/>
        </w:rPr>
        <w:t xml:space="preserve"> и </w:t>
      </w:r>
      <w:hyperlink w:history="0" r:id="rId220" w:tooltip="&quot;Бюджетный кодекс Российской Федерации&quot; от 31.07.1998 N 145-ФЗ (ред. от 28.12.2022) (с изм. и доп., вступ. в силу с 01.01.2023) ------------ Недействующая редакция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6.1 в ред. </w:t>
      </w:r>
      <w:hyperlink w:history="0" r:id="rId221" w:tooltip="Постановление Правительства Пермского края от 07.04.2022 N 285-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07.04.2022 N 285-п)</w:t>
      </w:r>
    </w:p>
    <w:p>
      <w:pPr>
        <w:pStyle w:val="0"/>
        <w:spacing w:before="200" w:line-rule="auto"/>
        <w:ind w:firstLine="540"/>
        <w:jc w:val="both"/>
      </w:pPr>
      <w:r>
        <w:rPr>
          <w:sz w:val="20"/>
        </w:rPr>
        <w:t xml:space="preserve">6.2. Утратил силу. - </w:t>
      </w:r>
      <w:hyperlink w:history="0" r:id="rId222" w:tooltip="Постановление Правительства Пермского края от 24.12.2019 N 980-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w:t>
        </w:r>
      </w:hyperlink>
      <w:r>
        <w:rPr>
          <w:sz w:val="20"/>
        </w:rPr>
        <w:t xml:space="preserve"> Правительства Пермского края от 24.12.2019 N 980-п.</w:t>
      </w:r>
    </w:p>
    <w:p>
      <w:pPr>
        <w:pStyle w:val="0"/>
        <w:spacing w:before="200" w:line-rule="auto"/>
        <w:ind w:firstLine="540"/>
        <w:jc w:val="both"/>
      </w:pPr>
      <w:r>
        <w:rPr>
          <w:sz w:val="20"/>
        </w:rPr>
        <w:t xml:space="preserve">6.3. В случае выявления нарушения получателем субсидий условий и порядка, установленных Соглашением и (или) настоящим Порядком, субсидии подлежат возврату в бюджет Пермского края в полном объеме.</w:t>
      </w:r>
    </w:p>
    <w:p>
      <w:pPr>
        <w:pStyle w:val="0"/>
        <w:jc w:val="both"/>
      </w:pPr>
      <w:r>
        <w:rPr>
          <w:sz w:val="20"/>
        </w:rPr>
        <w:t xml:space="preserve">(в ред. </w:t>
      </w:r>
      <w:hyperlink w:history="0" r:id="rId223"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30.03.2023 N 222-п)</w:t>
      </w:r>
    </w:p>
    <w:p>
      <w:pPr>
        <w:pStyle w:val="0"/>
        <w:spacing w:before="200" w:line-rule="auto"/>
        <w:ind w:firstLine="540"/>
        <w:jc w:val="both"/>
      </w:pPr>
      <w:r>
        <w:rPr>
          <w:sz w:val="20"/>
        </w:rPr>
        <w:t xml:space="preserve">В случае выявления нарушения получателем субсидии условий и порядка, установленных Соглашением и (или) настоящим Порядком, по результатам проверок, проведенных органами государственного финансового контроля, возврат субсидии производится в порядке и сроки, установленные в соответствии с бюджетным законодательством.</w:t>
      </w:r>
    </w:p>
    <w:p>
      <w:pPr>
        <w:pStyle w:val="0"/>
        <w:jc w:val="both"/>
      </w:pPr>
      <w:r>
        <w:rPr>
          <w:sz w:val="20"/>
        </w:rPr>
        <w:t xml:space="preserve">(в ред. Постановлений Правительства Пермского края от 24.12.2019 </w:t>
      </w:r>
      <w:hyperlink w:history="0" r:id="rId224" w:tooltip="Постановление Правительства Пермского края от 24.12.2019 N 980-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980-п</w:t>
        </w:r>
      </w:hyperlink>
      <w:r>
        <w:rPr>
          <w:sz w:val="20"/>
        </w:rPr>
        <w:t xml:space="preserve">, от 30.03.2023 </w:t>
      </w:r>
      <w:hyperlink w:history="0" r:id="rId225"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222-п</w:t>
        </w:r>
      </w:hyperlink>
      <w:r>
        <w:rPr>
          <w:sz w:val="20"/>
        </w:rPr>
        <w:t xml:space="preserve">)</w:t>
      </w:r>
    </w:p>
    <w:p>
      <w:pPr>
        <w:pStyle w:val="0"/>
        <w:spacing w:before="200" w:line-rule="auto"/>
        <w:ind w:firstLine="540"/>
        <w:jc w:val="both"/>
      </w:pPr>
      <w:r>
        <w:rPr>
          <w:sz w:val="20"/>
        </w:rPr>
        <w:t xml:space="preserve">В случае выявления нарушения получателем субсидии условий и порядка предоставления субсидий, установленных Соглашением и (или) настоящим Порядком, по результатам проверок, проведенных Агентством, субсидии подлежат возврату в бюджет Пермского края в следующем порядке:</w:t>
      </w:r>
    </w:p>
    <w:p>
      <w:pPr>
        <w:pStyle w:val="0"/>
        <w:jc w:val="both"/>
      </w:pPr>
      <w:r>
        <w:rPr>
          <w:sz w:val="20"/>
        </w:rPr>
        <w:t xml:space="preserve">(в ред. Постановлений Правительства Пермского края от 20.12.2018 </w:t>
      </w:r>
      <w:hyperlink w:history="0" r:id="rId226" w:tooltip="Постановление Правительства Пермского края от 20.12.2018 N 84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843-п</w:t>
        </w:r>
      </w:hyperlink>
      <w:r>
        <w:rPr>
          <w:sz w:val="20"/>
        </w:rPr>
        <w:t xml:space="preserve">, от 16.09.2020 </w:t>
      </w:r>
      <w:hyperlink w:history="0" r:id="rId227" w:tooltip="Постановление Правительства Пермского края от 16.09.2020 N 688-п &quot;О внесении изменений в отдельные постановления Правительства Пермского края по вопросам развития малого и среднего предпринимательства&quot; {КонсультантПлюс}">
        <w:r>
          <w:rPr>
            <w:sz w:val="20"/>
            <w:color w:val="0000ff"/>
          </w:rPr>
          <w:t xml:space="preserve">N 688-п</w:t>
        </w:r>
      </w:hyperlink>
      <w:r>
        <w:rPr>
          <w:sz w:val="20"/>
        </w:rPr>
        <w:t xml:space="preserve">, от 07.04.2022 </w:t>
      </w:r>
      <w:hyperlink w:history="0" r:id="rId228" w:tooltip="Постановление Правительства Пермского края от 07.04.2022 N 285-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285-п</w:t>
        </w:r>
      </w:hyperlink>
      <w:r>
        <w:rPr>
          <w:sz w:val="20"/>
        </w:rPr>
        <w:t xml:space="preserve">)</w:t>
      </w:r>
    </w:p>
    <w:p>
      <w:pPr>
        <w:pStyle w:val="0"/>
        <w:spacing w:before="200" w:line-rule="auto"/>
        <w:ind w:firstLine="540"/>
        <w:jc w:val="both"/>
      </w:pPr>
      <w:r>
        <w:rPr>
          <w:sz w:val="20"/>
        </w:rPr>
        <w:t xml:space="preserve">6.3.1. Агентство в течение 5 рабочих дней со дня выявления факта соответствующего нарушения направляет получателю субсидии требование о возврате субсидий;</w:t>
      </w:r>
    </w:p>
    <w:p>
      <w:pPr>
        <w:pStyle w:val="0"/>
        <w:jc w:val="both"/>
      </w:pPr>
      <w:r>
        <w:rPr>
          <w:sz w:val="20"/>
        </w:rPr>
        <w:t xml:space="preserve">(в ред. </w:t>
      </w:r>
      <w:hyperlink w:history="0" r:id="rId229" w:tooltip="Постановление Правительства Пермского края от 16.09.2020 N 688-п &quot;О внесении изменений в отдельные постановления Правительства Пермского края по вопросам развития малого и среднего предпринимательства&quot; {КонсультантПлюс}">
        <w:r>
          <w:rPr>
            <w:sz w:val="20"/>
            <w:color w:val="0000ff"/>
          </w:rPr>
          <w:t xml:space="preserve">Постановления</w:t>
        </w:r>
      </w:hyperlink>
      <w:r>
        <w:rPr>
          <w:sz w:val="20"/>
        </w:rPr>
        <w:t xml:space="preserve"> Правительства Пермского края от 16.09.2020 N 688-п)</w:t>
      </w:r>
    </w:p>
    <w:p>
      <w:pPr>
        <w:pStyle w:val="0"/>
        <w:spacing w:before="200" w:line-rule="auto"/>
        <w:ind w:firstLine="540"/>
        <w:jc w:val="both"/>
      </w:pPr>
      <w:r>
        <w:rPr>
          <w:sz w:val="20"/>
        </w:rPr>
        <w:t xml:space="preserve">6.3.2. требование о возврате субсидий должно быть исполнено получателем субсидии в течение одного месяца со дня его получения;</w:t>
      </w:r>
    </w:p>
    <w:p>
      <w:pPr>
        <w:pStyle w:val="0"/>
        <w:spacing w:before="200" w:line-rule="auto"/>
        <w:ind w:firstLine="540"/>
        <w:jc w:val="both"/>
      </w:pPr>
      <w:r>
        <w:rPr>
          <w:sz w:val="20"/>
        </w:rPr>
        <w:t xml:space="preserve">6.3.3. в случае невыполнения получателем субсидии в срок, установленный пунктом 6.3.2 настоящего Порядка, требования о возврате субсидий Агентство обеспечивает взыскание субсидий в судебном порядке.</w:t>
      </w:r>
    </w:p>
    <w:p>
      <w:pPr>
        <w:pStyle w:val="0"/>
        <w:jc w:val="both"/>
      </w:pPr>
      <w:r>
        <w:rPr>
          <w:sz w:val="20"/>
        </w:rPr>
        <w:t xml:space="preserve">(в ред. </w:t>
      </w:r>
      <w:hyperlink w:history="0" r:id="rId230" w:tooltip="Постановление Правительства Пермского края от 16.09.2020 N 688-п &quot;О внесении изменений в отдельные постановления Правительства Пермского края по вопросам развития малого и среднего предпринимательства&quot; {КонсультантПлюс}">
        <w:r>
          <w:rPr>
            <w:sz w:val="20"/>
            <w:color w:val="0000ff"/>
          </w:rPr>
          <w:t xml:space="preserve">Постановления</w:t>
        </w:r>
      </w:hyperlink>
      <w:r>
        <w:rPr>
          <w:sz w:val="20"/>
        </w:rPr>
        <w:t xml:space="preserve"> Правительства Пермского края от 16.09.2020 N 688-п)</w:t>
      </w:r>
    </w:p>
    <w:p>
      <w:pPr>
        <w:pStyle w:val="0"/>
        <w:spacing w:before="200" w:line-rule="auto"/>
        <w:ind w:firstLine="540"/>
        <w:jc w:val="both"/>
      </w:pPr>
      <w:r>
        <w:rPr>
          <w:sz w:val="20"/>
        </w:rPr>
        <w:t xml:space="preserve">6.4. Получатели субсидий ежеквартально, до 10 числа месяца, следующего за отчетным кварталом, представляют в Агентство отчет о достижении значений результата предоставления субсидии по форме, определенной типовой формой соглашения, установленной Министерством финансов Пермского края, с приложением копий документов, подтверждающих установленные в соглашении о предоставлении субсидии значения результатов предоставления субсидии.</w:t>
      </w:r>
    </w:p>
    <w:p>
      <w:pPr>
        <w:pStyle w:val="0"/>
        <w:jc w:val="both"/>
      </w:pPr>
      <w:r>
        <w:rPr>
          <w:sz w:val="20"/>
        </w:rPr>
        <w:t xml:space="preserve">(в ред. </w:t>
      </w:r>
      <w:hyperlink w:history="0" r:id="rId231" w:tooltip="Постановление Правительства Пермского края от 30.12.2020 N 1068-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30.12.2020 N 1068-п)</w:t>
      </w:r>
    </w:p>
    <w:p>
      <w:pPr>
        <w:pStyle w:val="0"/>
        <w:spacing w:before="200" w:line-rule="auto"/>
        <w:ind w:firstLine="540"/>
        <w:jc w:val="both"/>
      </w:pPr>
      <w:r>
        <w:rPr>
          <w:sz w:val="20"/>
        </w:rPr>
        <w:t xml:space="preserve">Оценка достижения значений результатов предоставления субсидии производится Агентством по итогам финансового года путем сопоставления фактически достигнутых и плановых значений результатов предоставления субсидии, установленных Соглашением, на основании отчетов о достижении значений результатов предоставления субсидии.</w:t>
      </w:r>
    </w:p>
    <w:p>
      <w:pPr>
        <w:pStyle w:val="0"/>
        <w:jc w:val="both"/>
      </w:pPr>
      <w:r>
        <w:rPr>
          <w:sz w:val="20"/>
        </w:rPr>
        <w:t xml:space="preserve">(в ред. Постановлений Правительства Пермского края от 16.09.2020 </w:t>
      </w:r>
      <w:hyperlink w:history="0" r:id="rId232" w:tooltip="Постановление Правительства Пермского края от 16.09.2020 N 688-п &quot;О внесении изменений в отдельные постановления Правительства Пермского края по вопросам развития малого и среднего предпринимательства&quot; {КонсультантПлюс}">
        <w:r>
          <w:rPr>
            <w:sz w:val="20"/>
            <w:color w:val="0000ff"/>
          </w:rPr>
          <w:t xml:space="preserve">N 688-п</w:t>
        </w:r>
      </w:hyperlink>
      <w:r>
        <w:rPr>
          <w:sz w:val="20"/>
        </w:rPr>
        <w:t xml:space="preserve">, от 20.10.2021 </w:t>
      </w:r>
      <w:hyperlink w:history="0" r:id="rId233" w:tooltip="Постановление Правительства Пермского края от 20.10.2021 N 79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793-п</w:t>
        </w:r>
      </w:hyperlink>
      <w:r>
        <w:rPr>
          <w:sz w:val="20"/>
        </w:rPr>
        <w:t xml:space="preserve">)</w:t>
      </w:r>
    </w:p>
    <w:p>
      <w:pPr>
        <w:pStyle w:val="0"/>
        <w:spacing w:before="200" w:line-rule="auto"/>
        <w:ind w:firstLine="540"/>
        <w:jc w:val="both"/>
      </w:pPr>
      <w:r>
        <w:rPr>
          <w:sz w:val="20"/>
        </w:rPr>
        <w:t xml:space="preserve">Агентство вправе устанавливать в Соглашении сроки и формы представления получателем субсидий дополнительной отчетности.</w:t>
      </w:r>
    </w:p>
    <w:p>
      <w:pPr>
        <w:pStyle w:val="0"/>
        <w:jc w:val="both"/>
      </w:pPr>
      <w:r>
        <w:rPr>
          <w:sz w:val="20"/>
        </w:rPr>
        <w:t xml:space="preserve">(абзац введен </w:t>
      </w:r>
      <w:hyperlink w:history="0" r:id="rId234" w:tooltip="Постановление Правительства Пермского края от 16.09.2020 N 688-п &quot;О внесении изменений в отдельные постановления Правительства Пермского края по вопросам развития малого и среднего предпринимательства&quot; {КонсультантПлюс}">
        <w:r>
          <w:rPr>
            <w:sz w:val="20"/>
            <w:color w:val="0000ff"/>
          </w:rPr>
          <w:t xml:space="preserve">Постановлением</w:t>
        </w:r>
      </w:hyperlink>
      <w:r>
        <w:rPr>
          <w:sz w:val="20"/>
        </w:rPr>
        <w:t xml:space="preserve"> Правительства Пермского края от 16.09.2020 N 688-п)</w:t>
      </w:r>
    </w:p>
    <w:p>
      <w:pPr>
        <w:pStyle w:val="0"/>
        <w:jc w:val="both"/>
      </w:pPr>
      <w:r>
        <w:rPr>
          <w:sz w:val="20"/>
        </w:rPr>
        <w:t xml:space="preserve">(п. 6.4 в ред. </w:t>
      </w:r>
      <w:hyperlink w:history="0" r:id="rId235" w:tooltip="Постановление Правительства Пермского края от 24.12.2019 N 980-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24.12.2019 N 980-п)</w:t>
      </w:r>
    </w:p>
    <w:p>
      <w:pPr>
        <w:pStyle w:val="0"/>
        <w:spacing w:before="200" w:line-rule="auto"/>
        <w:ind w:firstLine="540"/>
        <w:jc w:val="both"/>
      </w:pPr>
      <w:r>
        <w:rPr>
          <w:sz w:val="20"/>
        </w:rPr>
        <w:t xml:space="preserve">6.5. Значения результатов предоставления субсидии рассчитываются на основании сведений, указанных в паспорте бизнес-проекта (инвестиционного проекта) субъекта малого и среднего предпринимательства:</w:t>
      </w:r>
    </w:p>
    <w:p>
      <w:pPr>
        <w:pStyle w:val="0"/>
        <w:jc w:val="both"/>
      </w:pPr>
      <w:r>
        <w:rPr>
          <w:sz w:val="20"/>
        </w:rPr>
        <w:t xml:space="preserve">(в ред. </w:t>
      </w:r>
      <w:hyperlink w:history="0" r:id="rId236" w:tooltip="Постановление Правительства Пермского края от 24.12.2019 N 980-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24.12.2019 N 980-п)</w:t>
      </w:r>
    </w:p>
    <w:bookmarkStart w:id="459" w:name="P459"/>
    <w:bookmarkEnd w:id="459"/>
    <w:p>
      <w:pPr>
        <w:pStyle w:val="0"/>
        <w:spacing w:before="200" w:line-rule="auto"/>
        <w:ind w:firstLine="540"/>
        <w:jc w:val="both"/>
      </w:pPr>
      <w:r>
        <w:rPr>
          <w:sz w:val="20"/>
        </w:rPr>
        <w:t xml:space="preserve">6.5.1. количество вновь созданных рабочих мест (включая вновь зарегистрированных индивидуальных предпринимателей) субъектами МСП, получившими субсидию, рассчитывается на основании сведений, указанных в </w:t>
      </w:r>
      <w:hyperlink w:history="0" w:anchor="P883" w:tooltip="3.16">
        <w:r>
          <w:rPr>
            <w:sz w:val="20"/>
            <w:color w:val="0000ff"/>
          </w:rPr>
          <w:t xml:space="preserve">пункте 3.16</w:t>
        </w:r>
      </w:hyperlink>
      <w:r>
        <w:rPr>
          <w:sz w:val="20"/>
        </w:rPr>
        <w:t xml:space="preserve"> паспорта бизнес-проекта (инвестиционного проекта) субъекта малого и среднего предпринимательства;</w:t>
      </w:r>
    </w:p>
    <w:p>
      <w:pPr>
        <w:pStyle w:val="0"/>
        <w:jc w:val="both"/>
      </w:pPr>
      <w:r>
        <w:rPr>
          <w:sz w:val="20"/>
        </w:rPr>
        <w:t xml:space="preserve">(п. 6.5.1 введен </w:t>
      </w:r>
      <w:hyperlink w:history="0" r:id="rId237" w:tooltip="Постановление Правительства Пермского края от 24.12.2019 N 980-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Постановлением</w:t>
        </w:r>
      </w:hyperlink>
      <w:r>
        <w:rPr>
          <w:sz w:val="20"/>
        </w:rPr>
        <w:t xml:space="preserve"> Правительства Пермского края от 24.12.2019 N 980-п; в ред. </w:t>
      </w:r>
      <w:hyperlink w:history="0" r:id="rId238"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30.03.2023 N 222-п)</w:t>
      </w:r>
    </w:p>
    <w:bookmarkStart w:id="461" w:name="P461"/>
    <w:bookmarkEnd w:id="461"/>
    <w:p>
      <w:pPr>
        <w:pStyle w:val="0"/>
        <w:spacing w:before="200" w:line-rule="auto"/>
        <w:ind w:firstLine="540"/>
        <w:jc w:val="both"/>
      </w:pPr>
      <w:r>
        <w:rPr>
          <w:sz w:val="20"/>
        </w:rPr>
        <w:t xml:space="preserve">6.5.2. прирост среднесписочной численности работников (без внешних совместителей), занятых у субъектов МСП, получивших субсидию, рассчитывается на основании сведений, указанных в </w:t>
      </w:r>
      <w:hyperlink w:history="0" w:anchor="P713" w:tooltip="2.3">
        <w:r>
          <w:rPr>
            <w:sz w:val="20"/>
            <w:color w:val="0000ff"/>
          </w:rPr>
          <w:t xml:space="preserve">пунктах 2.3</w:t>
        </w:r>
      </w:hyperlink>
      <w:r>
        <w:rPr>
          <w:sz w:val="20"/>
        </w:rPr>
        <w:t xml:space="preserve">, </w:t>
      </w:r>
      <w:hyperlink w:history="0" w:anchor="P889" w:tooltip="3.17">
        <w:r>
          <w:rPr>
            <w:sz w:val="20"/>
            <w:color w:val="0000ff"/>
          </w:rPr>
          <w:t xml:space="preserve">3.17</w:t>
        </w:r>
      </w:hyperlink>
      <w:r>
        <w:rPr>
          <w:sz w:val="20"/>
        </w:rPr>
        <w:t xml:space="preserve"> паспорта бизнес-проекта (инвестиционного проекта) субъекта малого и среднего предпринимательства, характеризующих среднесписочную численность работников (без внешних совместителей), занятых у субъектов МСП, на начало и конец периода, в котором субъекты МСП получили субсидию.</w:t>
      </w:r>
    </w:p>
    <w:p>
      <w:pPr>
        <w:pStyle w:val="0"/>
        <w:jc w:val="both"/>
      </w:pPr>
      <w:r>
        <w:rPr>
          <w:sz w:val="20"/>
        </w:rPr>
        <w:t xml:space="preserve">(в ред. </w:t>
      </w:r>
      <w:hyperlink w:history="0" r:id="rId239"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30.03.2023 N 222-п)</w:t>
      </w:r>
    </w:p>
    <w:p>
      <w:pPr>
        <w:pStyle w:val="0"/>
        <w:spacing w:before="200" w:line-rule="auto"/>
        <w:ind w:firstLine="540"/>
        <w:jc w:val="both"/>
      </w:pPr>
      <w:r>
        <w:rPr>
          <w:sz w:val="20"/>
        </w:rPr>
        <w:t xml:space="preserve">Значение результата предоставления субсидии определяется по формуле:</w:t>
      </w:r>
    </w:p>
    <w:p>
      <w:pPr>
        <w:pStyle w:val="0"/>
        <w:jc w:val="both"/>
      </w:pPr>
      <w:r>
        <w:rPr>
          <w:sz w:val="20"/>
        </w:rPr>
      </w:r>
    </w:p>
    <w:p>
      <w:pPr>
        <w:pStyle w:val="0"/>
        <w:jc w:val="center"/>
      </w:pPr>
      <w:r>
        <w:rPr>
          <w:sz w:val="20"/>
        </w:rPr>
        <w:t xml:space="preserve">ПРсчр = СЧР1 / СЧР2 x 100 - 100,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ПРсчр - прирост среднесписочной численности работников (без внешних совместителей), занятых у субъектов МСП, получивших субсидию;</w:t>
      </w:r>
    </w:p>
    <w:p>
      <w:pPr>
        <w:pStyle w:val="0"/>
        <w:spacing w:before="200" w:line-rule="auto"/>
        <w:ind w:firstLine="540"/>
        <w:jc w:val="both"/>
      </w:pPr>
      <w:r>
        <w:rPr>
          <w:sz w:val="20"/>
        </w:rPr>
        <w:t xml:space="preserve">СЧР1 - среднесписочная численность работников (без внешних совместителей), занятых у субъектов МСП, получивших субсидию, за год предоставления субсидии;</w:t>
      </w:r>
    </w:p>
    <w:p>
      <w:pPr>
        <w:pStyle w:val="0"/>
        <w:spacing w:before="200" w:line-rule="auto"/>
        <w:ind w:firstLine="540"/>
        <w:jc w:val="both"/>
      </w:pPr>
      <w:r>
        <w:rPr>
          <w:sz w:val="20"/>
        </w:rPr>
        <w:t xml:space="preserve">СЧР2 - среднесписочная численность работников (без внешних совместителей), занятых у субъектов МСП, получивших субсидию, за год, предшествующий участию в отборе;</w:t>
      </w:r>
    </w:p>
    <w:p>
      <w:pPr>
        <w:pStyle w:val="0"/>
        <w:jc w:val="both"/>
      </w:pPr>
      <w:r>
        <w:rPr>
          <w:sz w:val="20"/>
        </w:rPr>
        <w:t xml:space="preserve">(п. 6.5.2 введен </w:t>
      </w:r>
      <w:hyperlink w:history="0" r:id="rId240" w:tooltip="Постановление Правительства Пермского края от 24.12.2019 N 980-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Постановлением</w:t>
        </w:r>
      </w:hyperlink>
      <w:r>
        <w:rPr>
          <w:sz w:val="20"/>
        </w:rPr>
        <w:t xml:space="preserve"> Правительства Пермского края от 24.12.2019 N 980-п)</w:t>
      </w:r>
    </w:p>
    <w:bookmarkStart w:id="472" w:name="P472"/>
    <w:bookmarkEnd w:id="472"/>
    <w:p>
      <w:pPr>
        <w:pStyle w:val="0"/>
        <w:spacing w:before="200" w:line-rule="auto"/>
        <w:ind w:firstLine="540"/>
        <w:jc w:val="both"/>
      </w:pPr>
      <w:r>
        <w:rPr>
          <w:sz w:val="20"/>
        </w:rPr>
        <w:t xml:space="preserve">6.5.3. увеличение оборота (выручки) от продажи товаров, выполнения работ, оказания услуг на начало и конец года, в котором субъект МСП получил субсидию, рассчитывается на основании сведений, указанных в </w:t>
      </w:r>
      <w:hyperlink w:history="0" w:anchor="P707" w:tooltip="2.1">
        <w:r>
          <w:rPr>
            <w:sz w:val="20"/>
            <w:color w:val="0000ff"/>
          </w:rPr>
          <w:t xml:space="preserve">пунктах 2.1</w:t>
        </w:r>
      </w:hyperlink>
      <w:r>
        <w:rPr>
          <w:sz w:val="20"/>
        </w:rPr>
        <w:t xml:space="preserve">, </w:t>
      </w:r>
      <w:hyperlink w:history="0" w:anchor="P841" w:tooltip="3.12">
        <w:r>
          <w:rPr>
            <w:sz w:val="20"/>
            <w:color w:val="0000ff"/>
          </w:rPr>
          <w:t xml:space="preserve">3.12</w:t>
        </w:r>
      </w:hyperlink>
      <w:r>
        <w:rPr>
          <w:sz w:val="20"/>
        </w:rPr>
        <w:t xml:space="preserve"> паспорта бизнес-проекта (инвестиционного проекта) субъекта малого и среднего предпринимательства, характеризующих оборот (выручку) субъекта МСП от продажи товаров, выполнения работ и оказания услуг на начало и на конец периода, в котором субъекты МСП получили субсидию.</w:t>
      </w:r>
    </w:p>
    <w:p>
      <w:pPr>
        <w:pStyle w:val="0"/>
        <w:jc w:val="both"/>
      </w:pPr>
      <w:r>
        <w:rPr>
          <w:sz w:val="20"/>
        </w:rPr>
        <w:t xml:space="preserve">(в ред. Постановлений Правительства Пермского края от 16.09.2020 </w:t>
      </w:r>
      <w:hyperlink w:history="0" r:id="rId241" w:tooltip="Постановление Правительства Пермского края от 16.09.2020 N 688-п &quot;О внесении изменений в отдельные постановления Правительства Пермского края по вопросам развития малого и среднего предпринимательства&quot; {КонсультантПлюс}">
        <w:r>
          <w:rPr>
            <w:sz w:val="20"/>
            <w:color w:val="0000ff"/>
          </w:rPr>
          <w:t xml:space="preserve">N 688-п</w:t>
        </w:r>
      </w:hyperlink>
      <w:r>
        <w:rPr>
          <w:sz w:val="20"/>
        </w:rPr>
        <w:t xml:space="preserve">, от 30.03.2023 </w:t>
      </w:r>
      <w:hyperlink w:history="0" r:id="rId242"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222-п</w:t>
        </w:r>
      </w:hyperlink>
      <w:r>
        <w:rPr>
          <w:sz w:val="20"/>
        </w:rPr>
        <w:t xml:space="preserve">)</w:t>
      </w:r>
    </w:p>
    <w:p>
      <w:pPr>
        <w:pStyle w:val="0"/>
        <w:spacing w:before="200" w:line-rule="auto"/>
        <w:ind w:firstLine="540"/>
        <w:jc w:val="both"/>
      </w:pPr>
      <w:r>
        <w:rPr>
          <w:sz w:val="20"/>
        </w:rPr>
        <w:t xml:space="preserve">Значение результата предоставления субсидии определяется по формуле:</w:t>
      </w:r>
    </w:p>
    <w:p>
      <w:pPr>
        <w:pStyle w:val="0"/>
        <w:jc w:val="both"/>
      </w:pPr>
      <w:r>
        <w:rPr>
          <w:sz w:val="20"/>
        </w:rPr>
      </w:r>
    </w:p>
    <w:p>
      <w:pPr>
        <w:pStyle w:val="0"/>
        <w:jc w:val="center"/>
      </w:pPr>
      <w:r>
        <w:rPr>
          <w:position w:val="-5"/>
        </w:rPr>
        <w:drawing>
          <wp:inline distT="0" distB="0" distL="0" distR="0">
            <wp:extent cx="172402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a:extLst>
                        <a:ext uri="{28A0092B-C50C-407E-A947-70E740481C1C}">
                          <a14:useLocalDpi xmlns:a14="http://schemas.microsoft.com/office/drawing/2010/main" val="0"/>
                        </a:ext>
                      </a:extLst>
                    </a:blip>
                    <a:srcRect/>
                    <a:stretch>
                      <a:fillRect/>
                    </a:stretch>
                  </pic:blipFill>
                  <pic:spPr bwMode="auto">
                    <a:xfrm>
                      <a:off x="0" y="0"/>
                      <a:ext cx="1724025" cy="2000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4"/>
        </w:rPr>
        <w:drawing>
          <wp:inline distT="0" distB="0" distL="0" distR="0">
            <wp:extent cx="295275"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r>
        <w:rPr>
          <w:sz w:val="20"/>
        </w:rPr>
        <w:t xml:space="preserve"> - оборот (выручка) получателя поддержки на конец отчетного периода, тыс. руб.;</w:t>
      </w:r>
    </w:p>
    <w:p>
      <w:pPr>
        <w:pStyle w:val="0"/>
        <w:jc w:val="both"/>
      </w:pPr>
      <w:r>
        <w:rPr>
          <w:sz w:val="20"/>
        </w:rPr>
        <w:t xml:space="preserve">(в ред. </w:t>
      </w:r>
      <w:hyperlink w:history="0" r:id="rId245" w:tooltip="Постановление Правительства Пермского края от 16.09.2020 N 688-п &quot;О внесении изменений в отдельные постановления Правительства Пермского края по вопросам развития малого и среднего предпринимательства&quot; {КонсультантПлюс}">
        <w:r>
          <w:rPr>
            <w:sz w:val="20"/>
            <w:color w:val="0000ff"/>
          </w:rPr>
          <w:t xml:space="preserve">Постановления</w:t>
        </w:r>
      </w:hyperlink>
      <w:r>
        <w:rPr>
          <w:sz w:val="20"/>
        </w:rPr>
        <w:t xml:space="preserve"> Правительства Пермского края от 16.09.2020 N 688-п)</w:t>
      </w:r>
    </w:p>
    <w:p>
      <w:pPr>
        <w:pStyle w:val="0"/>
        <w:spacing w:before="200" w:line-rule="auto"/>
        <w:ind w:firstLine="540"/>
        <w:jc w:val="both"/>
      </w:pPr>
      <w:r>
        <w:rPr>
          <w:position w:val="-5"/>
        </w:rPr>
        <w:drawing>
          <wp:inline distT="0" distB="0" distL="0" distR="0">
            <wp:extent cx="304800"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Pr>
          <w:sz w:val="20"/>
        </w:rPr>
        <w:t xml:space="preserve"> - оборот (выручка) получателя поддержки на начало отчетного периода, тыс. руб.</w:t>
      </w:r>
    </w:p>
    <w:p>
      <w:pPr>
        <w:pStyle w:val="0"/>
        <w:jc w:val="both"/>
      </w:pPr>
      <w:r>
        <w:rPr>
          <w:sz w:val="20"/>
        </w:rPr>
        <w:t xml:space="preserve">(в ред. </w:t>
      </w:r>
      <w:hyperlink w:history="0" r:id="rId247" w:tooltip="Постановление Правительства Пермского края от 16.09.2020 N 688-п &quot;О внесении изменений в отдельные постановления Правительства Пермского края по вопросам развития малого и среднего предпринимательства&quot; {КонсультантПлюс}">
        <w:r>
          <w:rPr>
            <w:sz w:val="20"/>
            <w:color w:val="0000ff"/>
          </w:rPr>
          <w:t xml:space="preserve">Постановления</w:t>
        </w:r>
      </w:hyperlink>
      <w:r>
        <w:rPr>
          <w:sz w:val="20"/>
        </w:rPr>
        <w:t xml:space="preserve"> Правительства Пермского края от 16.09.2020 N 688-п)</w:t>
      </w:r>
    </w:p>
    <w:p>
      <w:pPr>
        <w:pStyle w:val="0"/>
        <w:jc w:val="both"/>
      </w:pPr>
      <w:r>
        <w:rPr>
          <w:sz w:val="20"/>
        </w:rPr>
        <w:t xml:space="preserve">(п. 6.5.3 введен </w:t>
      </w:r>
      <w:hyperlink w:history="0" r:id="rId248" w:tooltip="Постановление Правительства Пермского края от 24.12.2019 N 980-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Постановлением</w:t>
        </w:r>
      </w:hyperlink>
      <w:r>
        <w:rPr>
          <w:sz w:val="20"/>
        </w:rPr>
        <w:t xml:space="preserve"> Правительства Пермского края от 24.12.2019 N 980-п)</w:t>
      </w:r>
    </w:p>
    <w:p>
      <w:pPr>
        <w:pStyle w:val="0"/>
        <w:spacing w:before="200" w:line-rule="auto"/>
        <w:ind w:firstLine="540"/>
        <w:jc w:val="both"/>
      </w:pPr>
      <w:r>
        <w:rPr>
          <w:sz w:val="20"/>
        </w:rPr>
        <w:t xml:space="preserve">6.6. При недостижении значений результатов предоставления субсидии, установленных в Соглашении, средства бюджета Пермского края подлежат возврату в бюджет Пермского края в следующем порядке:</w:t>
      </w:r>
    </w:p>
    <w:p>
      <w:pPr>
        <w:pStyle w:val="0"/>
        <w:jc w:val="both"/>
      </w:pPr>
      <w:r>
        <w:rPr>
          <w:sz w:val="20"/>
        </w:rPr>
        <w:t xml:space="preserve">(в ред. </w:t>
      </w:r>
      <w:hyperlink w:history="0" r:id="rId249" w:tooltip="Постановление Правительства Пермского края от 24.12.2019 N 980-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rPr>
        <w:t xml:space="preserve"> Правительства Пермского края от 24.12.2019 N 980-п)</w:t>
      </w:r>
    </w:p>
    <w:bookmarkStart w:id="486" w:name="P486"/>
    <w:bookmarkEnd w:id="486"/>
    <w:p>
      <w:pPr>
        <w:pStyle w:val="0"/>
        <w:spacing w:before="200" w:line-rule="auto"/>
        <w:ind w:firstLine="540"/>
        <w:jc w:val="both"/>
      </w:pPr>
      <w:r>
        <w:rPr>
          <w:sz w:val="20"/>
        </w:rPr>
        <w:t xml:space="preserve">6.6.1. Агентство в течение 5 рабочих дней со дня выявления факта недостижения значения результата предоставления субсидии направляет получателю субсидии требование о возврате средств бюджета Пермского края.</w:t>
      </w:r>
    </w:p>
    <w:p>
      <w:pPr>
        <w:pStyle w:val="0"/>
        <w:spacing w:before="200" w:line-rule="auto"/>
        <w:ind w:firstLine="540"/>
        <w:jc w:val="both"/>
      </w:pPr>
      <w:r>
        <w:rPr>
          <w:sz w:val="20"/>
        </w:rPr>
        <w:t xml:space="preserve">Объем средств, подлежащих возврату в бюджет Пермского края (Vвозврата), рассчитывается по следующей формуле: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 случае достижения значения результата предоставления субсидии выше планового значения одного либо двух из трех значений результатов предоставления субсидии при расчете средств, подлежащих возврату по формуле, указанной в </w:t>
      </w:r>
      <w:hyperlink w:history="0" w:anchor="P486" w:tooltip="6.6.1. Агентство в течение 5 рабочих дней со дня выявления факта недостижения значения результата предоставления субсидии направляет получателю субсидии требование о возврате средств бюджета Пермского края.">
        <w:r>
          <w:rPr>
            <w:sz w:val="20"/>
            <w:color w:val="0000ff"/>
          </w:rPr>
          <w:t xml:space="preserve">пункте 6.6.1</w:t>
        </w:r>
      </w:hyperlink>
      <w:r>
        <w:rPr>
          <w:sz w:val="20"/>
        </w:rPr>
        <w:t xml:space="preserve"> настоящего Порядка, применяется только плановое значение результата предоставления субсидии, указанное в Соглашении.</w:t>
      </w:r>
    </w:p>
    <w:p>
      <w:pPr>
        <w:pStyle w:val="0"/>
        <w:jc w:val="both"/>
      </w:pPr>
      <w:r>
        <w:rPr>
          <w:sz w:val="20"/>
        </w:rPr>
        <w:t xml:space="preserve">(сноска &lt;*&gt; введена </w:t>
      </w:r>
      <w:hyperlink w:history="0" r:id="rId250" w:tooltip="Постановление Правительства Пермского края от 20.10.2021 N 79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Постановлением</w:t>
        </w:r>
      </w:hyperlink>
      <w:r>
        <w:rPr>
          <w:sz w:val="20"/>
        </w:rPr>
        <w:t xml:space="preserve"> Правительства Пермского края от 20.10.2021 N 793-п)</w:t>
      </w:r>
    </w:p>
    <w:p>
      <w:pPr>
        <w:pStyle w:val="0"/>
        <w:jc w:val="both"/>
      </w:pPr>
      <w:r>
        <w:rPr>
          <w:sz w:val="20"/>
        </w:rPr>
      </w:r>
    </w:p>
    <w:p>
      <w:pPr>
        <w:pStyle w:val="0"/>
        <w:jc w:val="center"/>
      </w:pPr>
      <w:r>
        <w:rPr>
          <w:sz w:val="20"/>
        </w:rPr>
        <w:t xml:space="preserve">V возврата = ((1 - (X</w:t>
      </w:r>
      <w:r>
        <w:rPr>
          <w:sz w:val="20"/>
          <w:vertAlign w:val="subscript"/>
        </w:rPr>
        <w:t xml:space="preserve">1</w:t>
      </w:r>
      <w:r>
        <w:rPr>
          <w:sz w:val="20"/>
        </w:rPr>
        <w:t xml:space="preserve">факт / X</w:t>
      </w:r>
      <w:r>
        <w:rPr>
          <w:sz w:val="20"/>
          <w:vertAlign w:val="subscript"/>
        </w:rPr>
        <w:t xml:space="preserve">1</w:t>
      </w:r>
      <w:r>
        <w:rPr>
          <w:sz w:val="20"/>
        </w:rPr>
        <w:t xml:space="preserve">план)) x 1/3 Vсубсидии) +</w:t>
      </w:r>
    </w:p>
    <w:p>
      <w:pPr>
        <w:pStyle w:val="0"/>
        <w:jc w:val="center"/>
      </w:pPr>
      <w:r>
        <w:rPr>
          <w:sz w:val="20"/>
        </w:rPr>
        <w:t xml:space="preserve">((1 - (X</w:t>
      </w:r>
      <w:r>
        <w:rPr>
          <w:sz w:val="20"/>
          <w:vertAlign w:val="subscript"/>
        </w:rPr>
        <w:t xml:space="preserve">2</w:t>
      </w:r>
      <w:r>
        <w:rPr>
          <w:sz w:val="20"/>
        </w:rPr>
        <w:t xml:space="preserve">факт / X</w:t>
      </w:r>
      <w:r>
        <w:rPr>
          <w:sz w:val="20"/>
          <w:vertAlign w:val="subscript"/>
        </w:rPr>
        <w:t xml:space="preserve">2</w:t>
      </w:r>
      <w:r>
        <w:rPr>
          <w:sz w:val="20"/>
        </w:rPr>
        <w:t xml:space="preserve">план)) x 1/3 Vсубсидии) + ((1 - (X</w:t>
      </w:r>
      <w:r>
        <w:rPr>
          <w:sz w:val="20"/>
          <w:vertAlign w:val="subscript"/>
        </w:rPr>
        <w:t xml:space="preserve">3</w:t>
      </w:r>
      <w:r>
        <w:rPr>
          <w:sz w:val="20"/>
        </w:rPr>
        <w:t xml:space="preserve">факт /</w:t>
      </w:r>
    </w:p>
    <w:p>
      <w:pPr>
        <w:pStyle w:val="0"/>
        <w:jc w:val="center"/>
      </w:pPr>
      <w:r>
        <w:rPr>
          <w:sz w:val="20"/>
        </w:rPr>
        <w:t xml:space="preserve">/ X</w:t>
      </w:r>
      <w:r>
        <w:rPr>
          <w:sz w:val="20"/>
          <w:vertAlign w:val="subscript"/>
        </w:rPr>
        <w:t xml:space="preserve">3</w:t>
      </w:r>
      <w:r>
        <w:rPr>
          <w:sz w:val="20"/>
        </w:rPr>
        <w:t xml:space="preserve">план)) x 1/3 Vсубсидии),</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X</w:t>
      </w:r>
      <w:r>
        <w:rPr>
          <w:sz w:val="20"/>
          <w:vertAlign w:val="subscript"/>
        </w:rPr>
        <w:t xml:space="preserve">1</w:t>
      </w:r>
      <w:r>
        <w:rPr>
          <w:sz w:val="20"/>
        </w:rPr>
        <w:t xml:space="preserve">факт - фактически достигнутое значение результата предоставления субсидии - количество вновь созданных рабочих мест, единиц;</w:t>
      </w:r>
    </w:p>
    <w:p>
      <w:pPr>
        <w:pStyle w:val="0"/>
        <w:spacing w:before="200" w:line-rule="auto"/>
        <w:ind w:firstLine="540"/>
        <w:jc w:val="both"/>
      </w:pPr>
      <w:r>
        <w:rPr>
          <w:sz w:val="20"/>
        </w:rPr>
        <w:t xml:space="preserve">X</w:t>
      </w:r>
      <w:r>
        <w:rPr>
          <w:sz w:val="20"/>
          <w:vertAlign w:val="subscript"/>
        </w:rPr>
        <w:t xml:space="preserve">1</w:t>
      </w:r>
      <w:r>
        <w:rPr>
          <w:sz w:val="20"/>
        </w:rPr>
        <w:t xml:space="preserve">план - плановое значение результата предоставления субсидии - количество вновь созданных рабочих мест, единиц;</w:t>
      </w:r>
    </w:p>
    <w:p>
      <w:pPr>
        <w:pStyle w:val="0"/>
        <w:spacing w:before="200" w:line-rule="auto"/>
        <w:ind w:firstLine="540"/>
        <w:jc w:val="both"/>
      </w:pPr>
      <w:r>
        <w:rPr>
          <w:sz w:val="20"/>
        </w:rPr>
        <w:t xml:space="preserve">Vсубсидии - размер субсидии, полученной получателем субсидии;</w:t>
      </w:r>
    </w:p>
    <w:p>
      <w:pPr>
        <w:pStyle w:val="0"/>
        <w:spacing w:before="200" w:line-rule="auto"/>
        <w:ind w:firstLine="540"/>
        <w:jc w:val="both"/>
      </w:pPr>
      <w:r>
        <w:rPr>
          <w:sz w:val="20"/>
        </w:rPr>
        <w:t xml:space="preserve">X</w:t>
      </w:r>
      <w:r>
        <w:rPr>
          <w:sz w:val="20"/>
          <w:vertAlign w:val="subscript"/>
        </w:rPr>
        <w:t xml:space="preserve">2</w:t>
      </w:r>
      <w:r>
        <w:rPr>
          <w:sz w:val="20"/>
        </w:rPr>
        <w:t xml:space="preserve">факт - фактически достигнутое значение результата предоставления субсидии - прирост среднесписочной численности работников (без внешних совместителей), %;</w:t>
      </w:r>
    </w:p>
    <w:p>
      <w:pPr>
        <w:pStyle w:val="0"/>
        <w:spacing w:before="200" w:line-rule="auto"/>
        <w:ind w:firstLine="540"/>
        <w:jc w:val="both"/>
      </w:pPr>
      <w:r>
        <w:rPr>
          <w:sz w:val="20"/>
        </w:rPr>
        <w:t xml:space="preserve">X</w:t>
      </w:r>
      <w:r>
        <w:rPr>
          <w:sz w:val="20"/>
          <w:vertAlign w:val="subscript"/>
        </w:rPr>
        <w:t xml:space="preserve">2</w:t>
      </w:r>
      <w:r>
        <w:rPr>
          <w:sz w:val="20"/>
        </w:rPr>
        <w:t xml:space="preserve">план - плановое значение результата предоставления субсидии - прирост среднесписочной численности работников (без внешних совместителей), %;</w:t>
      </w:r>
    </w:p>
    <w:p>
      <w:pPr>
        <w:pStyle w:val="0"/>
        <w:spacing w:before="200" w:line-rule="auto"/>
        <w:ind w:firstLine="540"/>
        <w:jc w:val="both"/>
      </w:pPr>
      <w:r>
        <w:rPr>
          <w:sz w:val="20"/>
        </w:rPr>
        <w:t xml:space="preserve">X</w:t>
      </w:r>
      <w:r>
        <w:rPr>
          <w:sz w:val="20"/>
          <w:vertAlign w:val="subscript"/>
        </w:rPr>
        <w:t xml:space="preserve">3</w:t>
      </w:r>
      <w:r>
        <w:rPr>
          <w:sz w:val="20"/>
        </w:rPr>
        <w:t xml:space="preserve">факт - фактически достигнутое значение результата предоставления субсидии - увеличение оборота (выручки) от продажи товаров, выполнения работ, оказания услуг в постоянных ценах, %;</w:t>
      </w:r>
    </w:p>
    <w:p>
      <w:pPr>
        <w:pStyle w:val="0"/>
        <w:spacing w:before="200" w:line-rule="auto"/>
        <w:ind w:firstLine="540"/>
        <w:jc w:val="both"/>
      </w:pPr>
      <w:r>
        <w:rPr>
          <w:sz w:val="20"/>
        </w:rPr>
        <w:t xml:space="preserve">X</w:t>
      </w:r>
      <w:r>
        <w:rPr>
          <w:sz w:val="20"/>
          <w:vertAlign w:val="subscript"/>
        </w:rPr>
        <w:t xml:space="preserve">3</w:t>
      </w:r>
      <w:r>
        <w:rPr>
          <w:sz w:val="20"/>
        </w:rPr>
        <w:t xml:space="preserve">план - плановое значение результата предоставления субсидии - увеличение оборота (выручки) от продажи товаров, выполнения работ, оказания услуг в постоянных ценах, %;</w:t>
      </w:r>
    </w:p>
    <w:p>
      <w:pPr>
        <w:pStyle w:val="0"/>
        <w:jc w:val="both"/>
      </w:pPr>
      <w:r>
        <w:rPr>
          <w:sz w:val="20"/>
        </w:rPr>
        <w:t xml:space="preserve">(п. 6.6.1 в ред. </w:t>
      </w:r>
      <w:hyperlink w:history="0" r:id="rId251" w:tooltip="Постановление Правительства Пермского края от 16.09.2020 N 688-п &quot;О внесении изменений в отдельные постановления Правительства Пермского края по вопросам развития малого и среднего предпринимательства&quot; {КонсультантПлюс}">
        <w:r>
          <w:rPr>
            <w:sz w:val="20"/>
            <w:color w:val="0000ff"/>
          </w:rPr>
          <w:t xml:space="preserve">Постановления</w:t>
        </w:r>
      </w:hyperlink>
      <w:r>
        <w:rPr>
          <w:sz w:val="20"/>
        </w:rPr>
        <w:t xml:space="preserve"> Правительства Пермского края от 16.09.2020 N 688-п)</w:t>
      </w:r>
    </w:p>
    <w:p>
      <w:pPr>
        <w:pStyle w:val="0"/>
        <w:spacing w:before="200" w:line-rule="auto"/>
        <w:ind w:firstLine="540"/>
        <w:jc w:val="both"/>
      </w:pPr>
      <w:r>
        <w:rPr>
          <w:sz w:val="20"/>
        </w:rPr>
        <w:t xml:space="preserve">6.6.2. требование о возврате средств бюджета Пермского края в бюджет Пермского края должно быть удовлетворено получателем субсидии в течение 10 календарных дней с даты получения указанного требования;</w:t>
      </w:r>
    </w:p>
    <w:p>
      <w:pPr>
        <w:pStyle w:val="0"/>
        <w:spacing w:before="200" w:line-rule="auto"/>
        <w:ind w:firstLine="540"/>
        <w:jc w:val="both"/>
      </w:pPr>
      <w:r>
        <w:rPr>
          <w:sz w:val="20"/>
        </w:rPr>
        <w:t xml:space="preserve">6.6.3. в случае невыполнения получателем субсидии в установленный срок требования о возврате средств бюджета Пермского края Агентство обеспечивает взыскание средств бюджета Пермского края в судебном порядке.</w:t>
      </w:r>
    </w:p>
    <w:p>
      <w:pPr>
        <w:pStyle w:val="0"/>
        <w:jc w:val="both"/>
      </w:pPr>
      <w:r>
        <w:rPr>
          <w:sz w:val="20"/>
        </w:rPr>
        <w:t xml:space="preserve">(в ред. </w:t>
      </w:r>
      <w:hyperlink w:history="0" r:id="rId252" w:tooltip="Постановление Правительства Пермского края от 16.09.2020 N 688-п &quot;О внесении изменений в отдельные постановления Правительства Пермского края по вопросам развития малого и среднего предпринимательства&quot; {КонсультантПлюс}">
        <w:r>
          <w:rPr>
            <w:sz w:val="20"/>
            <w:color w:val="0000ff"/>
          </w:rPr>
          <w:t xml:space="preserve">Постановления</w:t>
        </w:r>
      </w:hyperlink>
      <w:r>
        <w:rPr>
          <w:sz w:val="20"/>
        </w:rPr>
        <w:t xml:space="preserve"> Правительства Пермского края от 16.09.2020 N 688-п)</w:t>
      </w:r>
    </w:p>
    <w:p>
      <w:pPr>
        <w:pStyle w:val="0"/>
        <w:spacing w:before="200" w:line-rule="auto"/>
        <w:ind w:firstLine="540"/>
        <w:jc w:val="both"/>
      </w:pPr>
      <w:r>
        <w:rPr>
          <w:sz w:val="20"/>
        </w:rPr>
        <w:t xml:space="preserve">6.7. В случае призыва получателя субсидии на военную службу по мобилизации или прохождения получателем субсидии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Агентством.</w:t>
      </w:r>
    </w:p>
    <w:p>
      <w:pPr>
        <w:pStyle w:val="0"/>
        <w:jc w:val="both"/>
      </w:pPr>
      <w:r>
        <w:rPr>
          <w:sz w:val="20"/>
        </w:rPr>
        <w:t xml:space="preserve">(п. 6.7 введен </w:t>
      </w:r>
      <w:hyperlink w:history="0" r:id="rId253"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Постановлением</w:t>
        </w:r>
      </w:hyperlink>
      <w:r>
        <w:rPr>
          <w:sz w:val="20"/>
        </w:rPr>
        <w:t xml:space="preserve"> Правительства Пермского края от 30.03.2023 N 222-п)</w:t>
      </w:r>
    </w:p>
    <w:p>
      <w:pPr>
        <w:pStyle w:val="0"/>
        <w:spacing w:before="200" w:line-rule="auto"/>
        <w:ind w:firstLine="540"/>
        <w:jc w:val="both"/>
      </w:pPr>
      <w:r>
        <w:rPr>
          <w:sz w:val="20"/>
        </w:rPr>
        <w:t xml:space="preserve">6.8. Получатель субсидии представляет в Агентство документы, подтверждающие его нахождение в период действия Соглашения на военной службе по мобилизации или контракта о прохождении военной службы в течение срока действия Соглашения, но не позднее 50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pPr>
        <w:pStyle w:val="0"/>
        <w:jc w:val="both"/>
      </w:pPr>
      <w:r>
        <w:rPr>
          <w:sz w:val="20"/>
        </w:rPr>
        <w:t xml:space="preserve">(п. 6.8 введен </w:t>
      </w:r>
      <w:hyperlink w:history="0" r:id="rId254"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Постановлением</w:t>
        </w:r>
      </w:hyperlink>
      <w:r>
        <w:rPr>
          <w:sz w:val="20"/>
        </w:rPr>
        <w:t xml:space="preserve"> Правительства Пермского края от 30.03.2023 N 222-п)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Порядку</w:t>
      </w:r>
    </w:p>
    <w:p>
      <w:pPr>
        <w:pStyle w:val="0"/>
        <w:jc w:val="right"/>
      </w:pPr>
      <w:r>
        <w:rPr>
          <w:sz w:val="20"/>
        </w:rPr>
        <w:t xml:space="preserve">предоставления субсидий из бюджета</w:t>
      </w:r>
    </w:p>
    <w:p>
      <w:pPr>
        <w:pStyle w:val="0"/>
        <w:jc w:val="right"/>
      </w:pPr>
      <w:r>
        <w:rPr>
          <w:sz w:val="20"/>
        </w:rPr>
        <w:t xml:space="preserve">Пермского края субъектам малого</w:t>
      </w:r>
    </w:p>
    <w:p>
      <w:pPr>
        <w:pStyle w:val="0"/>
        <w:jc w:val="right"/>
      </w:pPr>
      <w:r>
        <w:rPr>
          <w:sz w:val="20"/>
        </w:rPr>
        <w:t xml:space="preserve">и среднего предпринимательства</w:t>
      </w:r>
    </w:p>
    <w:p>
      <w:pPr>
        <w:pStyle w:val="0"/>
        <w:jc w:val="right"/>
      </w:pPr>
      <w:r>
        <w:rPr>
          <w:sz w:val="20"/>
        </w:rPr>
        <w:t xml:space="preserve">в целях возмещения части затрат,</w:t>
      </w:r>
    </w:p>
    <w:p>
      <w:pPr>
        <w:pStyle w:val="0"/>
        <w:jc w:val="right"/>
      </w:pPr>
      <w:r>
        <w:rPr>
          <w:sz w:val="20"/>
        </w:rPr>
        <w:t xml:space="preserve">связанных с осуществлением ими</w:t>
      </w:r>
    </w:p>
    <w:p>
      <w:pPr>
        <w:pStyle w:val="0"/>
        <w:jc w:val="right"/>
      </w:pPr>
      <w:r>
        <w:rPr>
          <w:sz w:val="20"/>
        </w:rPr>
        <w:t xml:space="preserve">предпринимательской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Пермского края от 24.12.2019 </w:t>
            </w:r>
            <w:hyperlink w:history="0" r:id="rId255" w:tooltip="Постановление Правительства Пермского края от 24.12.2019 N 980-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980-п</w:t>
              </w:r>
            </w:hyperlink>
            <w:r>
              <w:rPr>
                <w:sz w:val="20"/>
                <w:color w:val="392c69"/>
              </w:rPr>
              <w:t xml:space="preserve">,</w:t>
            </w:r>
          </w:p>
          <w:p>
            <w:pPr>
              <w:pStyle w:val="0"/>
              <w:jc w:val="center"/>
            </w:pPr>
            <w:r>
              <w:rPr>
                <w:sz w:val="20"/>
                <w:color w:val="392c69"/>
              </w:rPr>
              <w:t xml:space="preserve">от 16.09.2020 </w:t>
            </w:r>
            <w:hyperlink w:history="0" r:id="rId256" w:tooltip="Постановление Правительства Пермского края от 16.09.2020 N 688-п &quot;О внесении изменений в отдельные постановления Правительства Пермского края по вопросам развития малого и среднего предпринимательства&quot; {КонсультантПлюс}">
              <w:r>
                <w:rPr>
                  <w:sz w:val="20"/>
                  <w:color w:val="0000ff"/>
                </w:rPr>
                <w:t xml:space="preserve">N 688-п</w:t>
              </w:r>
            </w:hyperlink>
            <w:r>
              <w:rPr>
                <w:sz w:val="20"/>
                <w:color w:val="392c69"/>
              </w:rPr>
              <w:t xml:space="preserve">, от 30.12.2020 </w:t>
            </w:r>
            <w:hyperlink w:history="0" r:id="rId257" w:tooltip="Постановление Правительства Пермского края от 30.12.2020 N 1068-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1068-п</w:t>
              </w:r>
            </w:hyperlink>
            <w:r>
              <w:rPr>
                <w:sz w:val="20"/>
                <w:color w:val="392c69"/>
              </w:rPr>
              <w:t xml:space="preserve">, от 03.02.2021 </w:t>
            </w:r>
            <w:hyperlink w:history="0" r:id="rId258" w:tooltip="Постановление Правительства Пермского края от 03.02.2021 N 67-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67-п</w:t>
              </w:r>
            </w:hyperlink>
            <w:r>
              <w:rPr>
                <w:sz w:val="20"/>
                <w:color w:val="392c69"/>
              </w:rPr>
              <w:t xml:space="preserve">,</w:t>
            </w:r>
          </w:p>
          <w:p>
            <w:pPr>
              <w:pStyle w:val="0"/>
              <w:jc w:val="center"/>
            </w:pPr>
            <w:r>
              <w:rPr>
                <w:sz w:val="20"/>
                <w:color w:val="392c69"/>
              </w:rPr>
              <w:t xml:space="preserve">от 07.04.2022 </w:t>
            </w:r>
            <w:hyperlink w:history="0" r:id="rId259" w:tooltip="Постановление Правительства Пермского края от 07.04.2022 N 285-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285-п</w:t>
              </w:r>
            </w:hyperlink>
            <w:r>
              <w:rPr>
                <w:sz w:val="20"/>
                <w:color w:val="392c69"/>
              </w:rPr>
              <w:t xml:space="preserve">, от 30.03.2023 </w:t>
            </w:r>
            <w:hyperlink w:history="0" r:id="rId260"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222-п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532" w:name="P532"/>
    <w:bookmarkEnd w:id="532"/>
    <w:p>
      <w:pPr>
        <w:pStyle w:val="1"/>
        <w:jc w:val="both"/>
      </w:pPr>
      <w:r>
        <w:rPr>
          <w:sz w:val="20"/>
        </w:rPr>
        <w:t xml:space="preserve">                                  ЗАЯВКА</w:t>
      </w:r>
    </w:p>
    <w:p>
      <w:pPr>
        <w:pStyle w:val="1"/>
        <w:jc w:val="both"/>
      </w:pPr>
      <w:r>
        <w:rPr>
          <w:sz w:val="20"/>
        </w:rPr>
      </w:r>
    </w:p>
    <w:p>
      <w:pPr>
        <w:pStyle w:val="1"/>
        <w:jc w:val="both"/>
      </w:pPr>
      <w:r>
        <w:rPr>
          <w:sz w:val="20"/>
        </w:rPr>
        <w:t xml:space="preserve">    на получение ___________________________________________________</w:t>
      </w:r>
    </w:p>
    <w:p>
      <w:pPr>
        <w:pStyle w:val="1"/>
        <w:jc w:val="both"/>
      </w:pPr>
      <w:r>
        <w:rPr>
          <w:sz w:val="20"/>
        </w:rPr>
        <w:t xml:space="preserve">                           (наименование субсидии)</w:t>
      </w:r>
    </w:p>
    <w:p>
      <w:pPr>
        <w:pStyle w:val="1"/>
        <w:jc w:val="both"/>
      </w:pPr>
      <w:r>
        <w:rPr>
          <w:sz w:val="20"/>
        </w:rPr>
      </w:r>
    </w:p>
    <w:p>
      <w:pPr>
        <w:pStyle w:val="1"/>
        <w:jc w:val="both"/>
      </w:pPr>
      <w:r>
        <w:rPr>
          <w:sz w:val="20"/>
        </w:rPr>
        <w:t xml:space="preserve">    Настоящим подтверждаю, что ____________________________________________</w:t>
      </w:r>
    </w:p>
    <w:p>
      <w:pPr>
        <w:pStyle w:val="1"/>
        <w:jc w:val="both"/>
      </w:pPr>
      <w:r>
        <w:rPr>
          <w:sz w:val="20"/>
        </w:rPr>
        <w:t xml:space="preserve">              (полное наименование субъекта малого и среднего</w:t>
      </w:r>
    </w:p>
    <w:p>
      <w:pPr>
        <w:pStyle w:val="1"/>
        <w:jc w:val="both"/>
      </w:pPr>
      <w:r>
        <w:rPr>
          <w:sz w:val="20"/>
        </w:rPr>
        <w:t xml:space="preserve">                           предпринимательства)</w:t>
      </w:r>
    </w:p>
    <w:p>
      <w:pPr>
        <w:pStyle w:val="0"/>
        <w:ind w:firstLine="540"/>
        <w:jc w:val="both"/>
      </w:pPr>
      <w:r>
        <w:rPr>
          <w:sz w:val="20"/>
        </w:rPr>
        <w:t xml:space="preserve">соответствует требованиям, установленным </w:t>
      </w:r>
      <w:hyperlink w:history="0" r:id="rId261" w:tooltip="Федеральный закон от 24.07.2007 N 209-ФЗ (ред. от 29.12.2022) &quot;О развитии малого и среднего предпринимательства в Российской Федерации&quot; {КонсультантПлюс}">
        <w:r>
          <w:rPr>
            <w:sz w:val="20"/>
            <w:color w:val="0000ff"/>
          </w:rPr>
          <w:t xml:space="preserve">статьей 4</w:t>
        </w:r>
      </w:hyperlink>
      <w:r>
        <w:rPr>
          <w:sz w:val="20"/>
        </w:rPr>
        <w:t xml:space="preserve"> Федерального закона от 24 июля 2007 г. N 209-ФЗ "О развитии малого и среднего предпринимательства в Российской Федерации";</w:t>
      </w:r>
    </w:p>
    <w:p>
      <w:pPr>
        <w:pStyle w:val="0"/>
        <w:spacing w:before="200" w:line-rule="auto"/>
        <w:ind w:firstLine="540"/>
        <w:jc w:val="both"/>
      </w:pPr>
      <w:r>
        <w:rPr>
          <w:sz w:val="20"/>
        </w:rPr>
        <w:t xml:space="preserve">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pPr>
        <w:pStyle w:val="0"/>
        <w:spacing w:before="200" w:line-rule="auto"/>
        <w:ind w:firstLine="540"/>
        <w:jc w:val="both"/>
      </w:pPr>
      <w:r>
        <w:rPr>
          <w:sz w:val="20"/>
        </w:rPr>
        <w:t xml:space="preserve">не является участником соглашения о разделе продукции;</w:t>
      </w:r>
    </w:p>
    <w:p>
      <w:pPr>
        <w:pStyle w:val="0"/>
        <w:spacing w:before="200" w:line-rule="auto"/>
        <w:ind w:firstLine="540"/>
        <w:jc w:val="both"/>
      </w:pPr>
      <w:r>
        <w:rPr>
          <w:sz w:val="20"/>
        </w:rPr>
        <w:t xml:space="preserve">не осуществляет предпринимательскую деятельность в сфере игорного бизнеса;</w:t>
      </w:r>
    </w:p>
    <w:p>
      <w:pPr>
        <w:pStyle w:val="0"/>
        <w:spacing w:before="200" w:line-rule="auto"/>
        <w:ind w:firstLine="540"/>
        <w:jc w:val="both"/>
      </w:pPr>
      <w:r>
        <w:rPr>
          <w:sz w:val="20"/>
        </w:rPr>
        <w:t xml:space="preserve">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pPr>
        <w:pStyle w:val="0"/>
        <w:spacing w:before="200" w:line-rule="auto"/>
        <w:ind w:firstLine="540"/>
        <w:jc w:val="both"/>
      </w:pPr>
      <w:r>
        <w:rPr>
          <w:sz w:val="20"/>
        </w:rPr>
        <w:t xml:space="preserve">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pPr>
        <w:pStyle w:val="0"/>
        <w:spacing w:before="200" w:line-rule="auto"/>
        <w:ind w:firstLine="540"/>
        <w:jc w:val="both"/>
      </w:pPr>
      <w:r>
        <w:rPr>
          <w:sz w:val="20"/>
        </w:rPr>
        <w:t xml:space="preserve">не признавался совершившим нарушение порядка и условий оказания поддержки в течение года, за исключением случая более раннего устранения субъектом МСП такого нарушения при условии соблюдения им срока устранения такого нарушения, установленного Агентством,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не признавался совершившим такое нарушение в течение трех лет;</w:t>
      </w:r>
    </w:p>
    <w:p>
      <w:pPr>
        <w:pStyle w:val="0"/>
        <w:spacing w:before="200" w:line-rule="auto"/>
        <w:ind w:firstLine="540"/>
        <w:jc w:val="both"/>
      </w:pPr>
      <w:r>
        <w:rPr>
          <w:sz w:val="20"/>
        </w:rPr>
        <w:t xml:space="preserve">на дату, предшествующую дате подачи заявки и документов для участия в конкурсе:</w:t>
      </w:r>
    </w:p>
    <w:p>
      <w:pPr>
        <w:pStyle w:val="0"/>
        <w:spacing w:before="200" w:line-rule="auto"/>
        <w:ind w:firstLine="540"/>
        <w:jc w:val="both"/>
      </w:pPr>
      <w:r>
        <w:rPr>
          <w:sz w:val="20"/>
        </w:rPr>
        <w:t xml:space="preserve">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не имеет просроченной (неурегулированной) задолженности по денежным обязательствам перед Пермским краем, из бюджета которого планируется предоставление субсидии;</w:t>
      </w:r>
    </w:p>
    <w:p>
      <w:pPr>
        <w:pStyle w:val="0"/>
        <w:spacing w:before="200" w:line-rule="auto"/>
        <w:ind w:firstLine="540"/>
        <w:jc w:val="both"/>
      </w:pPr>
      <w:r>
        <w:rPr>
          <w:sz w:val="20"/>
        </w:rPr>
        <w:t xml:space="preserve">не является иностранным юридическим лицом, в том числе местом регистрации которого являются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не получает средств из бюджета Пермского края на основании иных нормативных правовых актов или муниципальных правовых актов на цели, указанные в </w:t>
      </w:r>
      <w:hyperlink w:history="0" w:anchor="P54" w:tooltip="1.2. Настоящий Порядок предусматривает предоставление субсидии субъектам МСП по направлениям субсидирования:">
        <w:r>
          <w:rPr>
            <w:sz w:val="20"/>
            <w:color w:val="0000ff"/>
          </w:rPr>
          <w:t xml:space="preserve">пункте 1.2</w:t>
        </w:r>
      </w:hyperlink>
      <w:r>
        <w:rPr>
          <w:sz w:val="20"/>
        </w:rPr>
        <w:t xml:space="preserve"> Порядка;</w:t>
      </w:r>
    </w:p>
    <w:p>
      <w:pPr>
        <w:pStyle w:val="0"/>
        <w:spacing w:before="200" w:line-rule="auto"/>
        <w:ind w:firstLine="540"/>
        <w:jc w:val="both"/>
      </w:pPr>
      <w:r>
        <w:rPr>
          <w:sz w:val="20"/>
        </w:rPr>
        <w:t xml:space="preserve">не получал аналогичную государственную поддержку (государственную поддержку, условия оказания которой совпадают, включая форму, вид поддержки и цели ее оказания, с формой, видами и целями предоставления субсидий, установленными настоящим Порядком), и сроки ее оказания не истекли;</w:t>
      </w:r>
    </w:p>
    <w:p>
      <w:pPr>
        <w:pStyle w:val="0"/>
        <w:spacing w:before="200" w:line-rule="auto"/>
        <w:ind w:firstLine="540"/>
        <w:jc w:val="both"/>
      </w:pPr>
      <w:r>
        <w:rPr>
          <w:sz w:val="20"/>
        </w:rPr>
        <w:t xml:space="preserve">подписанием настоящей заявки дает согласие на публикацию (размещение) в информационно-телекоммуникационной сети "Интернет" информации, содержащейся в настоящей заявке;</w:t>
      </w:r>
    </w:p>
    <w:p>
      <w:pPr>
        <w:pStyle w:val="0"/>
        <w:spacing w:before="200" w:line-rule="auto"/>
        <w:ind w:firstLine="540"/>
        <w:jc w:val="both"/>
      </w:pPr>
      <w:r>
        <w:rPr>
          <w:sz w:val="20"/>
        </w:rPr>
        <w:t xml:space="preserve">подтверждает, что согласие на публикацию информации в информационно-телекоммуникационной сети "Интернет", содержащееся в настоящей заявке, действует до даты подачи заявления об отзыве данного согласия.</w:t>
      </w:r>
    </w:p>
    <w:p>
      <w:pPr>
        <w:pStyle w:val="0"/>
        <w:jc w:val="both"/>
      </w:pPr>
      <w:r>
        <w:rPr>
          <w:sz w:val="20"/>
        </w:rPr>
      </w:r>
    </w:p>
    <w:p>
      <w:pPr>
        <w:pStyle w:val="0"/>
        <w:jc w:val="center"/>
      </w:pPr>
      <w:r>
        <w:rPr>
          <w:sz w:val="20"/>
        </w:rPr>
        <w:t xml:space="preserve">Перечень прилагаемых документов: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7030"/>
        <w:gridCol w:w="1474"/>
      </w:tblGrid>
      <w:tr>
        <w:tc>
          <w:tcPr>
            <w:tcW w:w="567" w:type="dxa"/>
          </w:tcPr>
          <w:p>
            <w:pPr>
              <w:pStyle w:val="0"/>
              <w:jc w:val="center"/>
            </w:pPr>
            <w:r>
              <w:rPr>
                <w:sz w:val="20"/>
              </w:rPr>
              <w:t xml:space="preserve">N п/п</w:t>
            </w:r>
          </w:p>
        </w:tc>
        <w:tc>
          <w:tcPr>
            <w:tcW w:w="7030" w:type="dxa"/>
          </w:tcPr>
          <w:p>
            <w:pPr>
              <w:pStyle w:val="0"/>
              <w:jc w:val="center"/>
            </w:pPr>
            <w:r>
              <w:rPr>
                <w:sz w:val="20"/>
              </w:rPr>
              <w:t xml:space="preserve">Наименование документа</w:t>
            </w:r>
          </w:p>
        </w:tc>
        <w:tc>
          <w:tcPr>
            <w:tcW w:w="1474" w:type="dxa"/>
          </w:tcPr>
          <w:p>
            <w:pPr>
              <w:pStyle w:val="0"/>
              <w:jc w:val="center"/>
            </w:pPr>
            <w:r>
              <w:rPr>
                <w:sz w:val="20"/>
              </w:rPr>
              <w:t xml:space="preserve">Стр.</w:t>
            </w:r>
          </w:p>
        </w:tc>
      </w:tr>
      <w:tr>
        <w:tc>
          <w:tcPr>
            <w:tcW w:w="567" w:type="dxa"/>
          </w:tcPr>
          <w:p>
            <w:pPr>
              <w:pStyle w:val="0"/>
              <w:jc w:val="center"/>
            </w:pPr>
            <w:r>
              <w:rPr>
                <w:sz w:val="20"/>
              </w:rPr>
              <w:t xml:space="preserve">1</w:t>
            </w:r>
          </w:p>
        </w:tc>
        <w:tc>
          <w:tcPr>
            <w:tcW w:w="7030" w:type="dxa"/>
          </w:tcPr>
          <w:p>
            <w:pPr>
              <w:pStyle w:val="0"/>
              <w:jc w:val="center"/>
            </w:pPr>
            <w:r>
              <w:rPr>
                <w:sz w:val="20"/>
              </w:rPr>
              <w:t xml:space="preserve">2</w:t>
            </w:r>
          </w:p>
        </w:tc>
        <w:tc>
          <w:tcPr>
            <w:tcW w:w="1474" w:type="dxa"/>
          </w:tcPr>
          <w:p>
            <w:pPr>
              <w:pStyle w:val="0"/>
              <w:jc w:val="center"/>
            </w:pPr>
            <w:r>
              <w:rPr>
                <w:sz w:val="20"/>
              </w:rPr>
              <w:t xml:space="preserve">3</w:t>
            </w:r>
          </w:p>
        </w:tc>
      </w:tr>
      <w:tr>
        <w:tc>
          <w:tcPr>
            <w:tcW w:w="567" w:type="dxa"/>
          </w:tcPr>
          <w:p>
            <w:pPr>
              <w:pStyle w:val="0"/>
            </w:pPr>
            <w:r>
              <w:rPr>
                <w:sz w:val="20"/>
              </w:rPr>
            </w:r>
          </w:p>
        </w:tc>
        <w:tc>
          <w:tcPr>
            <w:tcW w:w="7030" w:type="dxa"/>
          </w:tcPr>
          <w:p>
            <w:pPr>
              <w:pStyle w:val="0"/>
            </w:pPr>
            <w:r>
              <w:rPr>
                <w:sz w:val="20"/>
              </w:rPr>
            </w:r>
          </w:p>
        </w:tc>
        <w:tc>
          <w:tcPr>
            <w:tcW w:w="1474" w:type="dxa"/>
          </w:tcPr>
          <w:p>
            <w:pPr>
              <w:pStyle w:val="0"/>
            </w:pPr>
            <w:r>
              <w:rPr>
                <w:sz w:val="20"/>
              </w:rPr>
            </w:r>
          </w:p>
        </w:tc>
      </w:tr>
      <w:tr>
        <w:tc>
          <w:tcPr>
            <w:tcW w:w="567" w:type="dxa"/>
          </w:tcPr>
          <w:p>
            <w:pPr>
              <w:pStyle w:val="0"/>
            </w:pPr>
            <w:r>
              <w:rPr>
                <w:sz w:val="20"/>
              </w:rPr>
            </w:r>
          </w:p>
        </w:tc>
        <w:tc>
          <w:tcPr>
            <w:tcW w:w="7030" w:type="dxa"/>
          </w:tcPr>
          <w:p>
            <w:pPr>
              <w:pStyle w:val="0"/>
            </w:pPr>
            <w:r>
              <w:rPr>
                <w:sz w:val="20"/>
              </w:rPr>
            </w:r>
          </w:p>
        </w:tc>
        <w:tc>
          <w:tcPr>
            <w:tcW w:w="1474" w:type="dxa"/>
          </w:tcPr>
          <w:p>
            <w:pPr>
              <w:pStyle w:val="0"/>
            </w:pPr>
            <w:r>
              <w:rPr>
                <w:sz w:val="20"/>
              </w:rPr>
            </w:r>
          </w:p>
        </w:tc>
      </w:tr>
      <w:tr>
        <w:tc>
          <w:tcPr>
            <w:tcW w:w="567" w:type="dxa"/>
          </w:tcPr>
          <w:p>
            <w:pPr>
              <w:pStyle w:val="0"/>
            </w:pPr>
            <w:r>
              <w:rPr>
                <w:sz w:val="20"/>
              </w:rPr>
            </w:r>
          </w:p>
        </w:tc>
        <w:tc>
          <w:tcPr>
            <w:tcW w:w="7030" w:type="dxa"/>
          </w:tcPr>
          <w:p>
            <w:pPr>
              <w:pStyle w:val="0"/>
            </w:pPr>
            <w:r>
              <w:rPr>
                <w:sz w:val="20"/>
              </w:rPr>
            </w:r>
          </w:p>
        </w:tc>
        <w:tc>
          <w:tcPr>
            <w:tcW w:w="1474" w:type="dxa"/>
          </w:tcPr>
          <w:p>
            <w:pPr>
              <w:pStyle w:val="0"/>
            </w:pPr>
            <w:r>
              <w:rPr>
                <w:sz w:val="20"/>
              </w:rPr>
            </w:r>
          </w:p>
        </w:tc>
      </w:tr>
      <w:tr>
        <w:tc>
          <w:tcPr>
            <w:tcW w:w="567" w:type="dxa"/>
          </w:tcPr>
          <w:p>
            <w:pPr>
              <w:pStyle w:val="0"/>
            </w:pPr>
            <w:r>
              <w:rPr>
                <w:sz w:val="20"/>
              </w:rPr>
            </w:r>
          </w:p>
        </w:tc>
        <w:tc>
          <w:tcPr>
            <w:tcW w:w="7030" w:type="dxa"/>
          </w:tcPr>
          <w:p>
            <w:pPr>
              <w:pStyle w:val="0"/>
            </w:pPr>
            <w:r>
              <w:rPr>
                <w:sz w:val="20"/>
              </w:rPr>
            </w:r>
          </w:p>
        </w:tc>
        <w:tc>
          <w:tcPr>
            <w:tcW w:w="1474" w:type="dxa"/>
          </w:tcPr>
          <w:p>
            <w:pPr>
              <w:pStyle w:val="0"/>
            </w:pPr>
            <w:r>
              <w:rPr>
                <w:sz w:val="20"/>
              </w:rPr>
            </w:r>
          </w:p>
        </w:tc>
      </w:tr>
    </w:tbl>
    <w:p>
      <w:pPr>
        <w:pStyle w:val="0"/>
        <w:jc w:val="both"/>
      </w:pPr>
      <w:r>
        <w:rPr>
          <w:sz w:val="20"/>
        </w:rPr>
      </w:r>
    </w:p>
    <w:p>
      <w:pPr>
        <w:pStyle w:val="1"/>
        <w:jc w:val="both"/>
      </w:pPr>
      <w:r>
        <w:rPr>
          <w:sz w:val="20"/>
        </w:rPr>
        <w:t xml:space="preserve">Заявка представлена на ______ л. в 1 экз.</w:t>
      </w:r>
    </w:p>
    <w:p>
      <w:pPr>
        <w:pStyle w:val="1"/>
        <w:jc w:val="both"/>
      </w:pPr>
      <w:r>
        <w:rPr>
          <w:sz w:val="20"/>
        </w:rPr>
      </w:r>
    </w:p>
    <w:p>
      <w:pPr>
        <w:pStyle w:val="1"/>
        <w:jc w:val="both"/>
      </w:pPr>
      <w:r>
        <w:rPr>
          <w:sz w:val="20"/>
        </w:rPr>
        <w:t xml:space="preserve">Руководитель</w:t>
      </w:r>
    </w:p>
    <w:p>
      <w:pPr>
        <w:pStyle w:val="1"/>
        <w:jc w:val="both"/>
      </w:pPr>
      <w:r>
        <w:rPr>
          <w:sz w:val="20"/>
        </w:rPr>
        <w:t xml:space="preserve">(индивидуальный предприниматель)</w:t>
      </w:r>
    </w:p>
    <w:p>
      <w:pPr>
        <w:pStyle w:val="1"/>
        <w:jc w:val="both"/>
      </w:pPr>
      <w:r>
        <w:rPr>
          <w:sz w:val="20"/>
        </w:rPr>
      </w:r>
    </w:p>
    <w:p>
      <w:pPr>
        <w:pStyle w:val="1"/>
        <w:jc w:val="both"/>
      </w:pPr>
      <w:r>
        <w:rPr>
          <w:sz w:val="20"/>
        </w:rPr>
        <w:t xml:space="preserve">_________________________/____________________________________/</w:t>
      </w:r>
    </w:p>
    <w:p>
      <w:pPr>
        <w:pStyle w:val="1"/>
        <w:jc w:val="both"/>
      </w:pPr>
      <w:r>
        <w:rPr>
          <w:sz w:val="20"/>
        </w:rPr>
        <w:t xml:space="preserve">        (подпись)                        (ФИО)</w:t>
      </w:r>
    </w:p>
    <w:p>
      <w:pPr>
        <w:pStyle w:val="1"/>
        <w:jc w:val="both"/>
      </w:pPr>
      <w:r>
        <w:rPr>
          <w:sz w:val="20"/>
        </w:rPr>
      </w:r>
    </w:p>
    <w:p>
      <w:pPr>
        <w:pStyle w:val="1"/>
        <w:jc w:val="both"/>
      </w:pPr>
      <w:r>
        <w:rPr>
          <w:sz w:val="20"/>
        </w:rPr>
        <w:t xml:space="preserve">М.П. (при наличии)</w:t>
      </w:r>
    </w:p>
    <w:p>
      <w:pPr>
        <w:pStyle w:val="1"/>
        <w:jc w:val="both"/>
      </w:pPr>
      <w:r>
        <w:rPr>
          <w:sz w:val="20"/>
        </w:rPr>
      </w:r>
    </w:p>
    <w:p>
      <w:pPr>
        <w:pStyle w:val="1"/>
        <w:jc w:val="both"/>
      </w:pPr>
      <w:r>
        <w:rPr>
          <w:sz w:val="20"/>
        </w:rPr>
        <w:t xml:space="preserve">"___" ________________ 20__ г.</w:t>
      </w:r>
    </w:p>
    <w:p>
      <w:pPr>
        <w:pStyle w:val="1"/>
        <w:jc w:val="both"/>
      </w:pPr>
      <w:r>
        <w:rPr>
          <w:sz w:val="20"/>
        </w:rPr>
      </w:r>
    </w:p>
    <w:p>
      <w:pPr>
        <w:pStyle w:val="1"/>
        <w:jc w:val="both"/>
      </w:pPr>
      <w:r>
        <w:rPr>
          <w:sz w:val="20"/>
        </w:rPr>
        <w:t xml:space="preserve">Заявка проверена</w:t>
      </w:r>
    </w:p>
    <w:p>
      <w:pPr>
        <w:pStyle w:val="1"/>
        <w:jc w:val="both"/>
      </w:pPr>
      <w:r>
        <w:rPr>
          <w:sz w:val="20"/>
        </w:rPr>
        <w:t xml:space="preserve">___________________________________________________________________________</w:t>
      </w:r>
    </w:p>
    <w:p>
      <w:pPr>
        <w:pStyle w:val="1"/>
        <w:jc w:val="both"/>
      </w:pPr>
      <w:r>
        <w:rPr>
          <w:sz w:val="20"/>
        </w:rPr>
        <w:t xml:space="preserve">              (исполнитель (ответственное лицо Агентства)</w:t>
      </w:r>
    </w:p>
    <w:p>
      <w:pPr>
        <w:pStyle w:val="1"/>
        <w:jc w:val="both"/>
      </w:pPr>
      <w:r>
        <w:rPr>
          <w:sz w:val="20"/>
        </w:rPr>
      </w:r>
    </w:p>
    <w:p>
      <w:pPr>
        <w:pStyle w:val="1"/>
        <w:jc w:val="both"/>
      </w:pPr>
      <w:r>
        <w:rPr>
          <w:sz w:val="20"/>
        </w:rPr>
        <w:t xml:space="preserve">____________________________/_______________________________/</w:t>
      </w:r>
    </w:p>
    <w:p>
      <w:pPr>
        <w:pStyle w:val="1"/>
        <w:jc w:val="both"/>
      </w:pPr>
      <w:r>
        <w:rPr>
          <w:sz w:val="20"/>
        </w:rPr>
        <w:t xml:space="preserve">         (подпись)                         (ФИО)</w:t>
      </w:r>
    </w:p>
    <w:p>
      <w:pPr>
        <w:pStyle w:val="1"/>
        <w:jc w:val="both"/>
      </w:pPr>
      <w:r>
        <w:rPr>
          <w:sz w:val="20"/>
        </w:rPr>
      </w:r>
    </w:p>
    <w:p>
      <w:pPr>
        <w:pStyle w:val="1"/>
        <w:jc w:val="both"/>
      </w:pPr>
      <w:r>
        <w:rPr>
          <w:sz w:val="20"/>
        </w:rPr>
        <w:t xml:space="preserve">Регистрационный номер ______________ от "___" ____________ 20__ г.</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Порядку</w:t>
      </w:r>
    </w:p>
    <w:p>
      <w:pPr>
        <w:pStyle w:val="0"/>
        <w:jc w:val="right"/>
      </w:pPr>
      <w:r>
        <w:rPr>
          <w:sz w:val="20"/>
        </w:rPr>
        <w:t xml:space="preserve">предоставления субсидий из бюджета</w:t>
      </w:r>
    </w:p>
    <w:p>
      <w:pPr>
        <w:pStyle w:val="0"/>
        <w:jc w:val="right"/>
      </w:pPr>
      <w:r>
        <w:rPr>
          <w:sz w:val="20"/>
        </w:rPr>
        <w:t xml:space="preserve">Пермского края субъектам малого</w:t>
      </w:r>
    </w:p>
    <w:p>
      <w:pPr>
        <w:pStyle w:val="0"/>
        <w:jc w:val="right"/>
      </w:pPr>
      <w:r>
        <w:rPr>
          <w:sz w:val="20"/>
        </w:rPr>
        <w:t xml:space="preserve">и среднего предпринимательства</w:t>
      </w:r>
    </w:p>
    <w:p>
      <w:pPr>
        <w:pStyle w:val="0"/>
        <w:jc w:val="right"/>
      </w:pPr>
      <w:r>
        <w:rPr>
          <w:sz w:val="20"/>
        </w:rPr>
        <w:t xml:space="preserve">в целях возмещения части затрат,</w:t>
      </w:r>
    </w:p>
    <w:p>
      <w:pPr>
        <w:pStyle w:val="0"/>
        <w:jc w:val="right"/>
      </w:pPr>
      <w:r>
        <w:rPr>
          <w:sz w:val="20"/>
        </w:rPr>
        <w:t xml:space="preserve">связанных с осуществлением ими</w:t>
      </w:r>
    </w:p>
    <w:p>
      <w:pPr>
        <w:pStyle w:val="0"/>
        <w:jc w:val="right"/>
      </w:pPr>
      <w:r>
        <w:rPr>
          <w:sz w:val="20"/>
        </w:rPr>
        <w:t xml:space="preserve">предпринимательской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Пермского края от 20.12.2018 </w:t>
            </w:r>
            <w:hyperlink w:history="0" r:id="rId262" w:tooltip="Постановление Правительства Пермского края от 20.12.2018 N 84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843-п</w:t>
              </w:r>
            </w:hyperlink>
            <w:r>
              <w:rPr>
                <w:sz w:val="20"/>
                <w:color w:val="392c69"/>
              </w:rPr>
              <w:t xml:space="preserve">,</w:t>
            </w:r>
          </w:p>
          <w:p>
            <w:pPr>
              <w:pStyle w:val="0"/>
              <w:jc w:val="center"/>
            </w:pPr>
            <w:r>
              <w:rPr>
                <w:sz w:val="20"/>
                <w:color w:val="392c69"/>
              </w:rPr>
              <w:t xml:space="preserve">от 24.12.2019 </w:t>
            </w:r>
            <w:hyperlink w:history="0" r:id="rId263" w:tooltip="Постановление Правительства Пермского края от 24.12.2019 N 980-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980-п</w:t>
              </w:r>
            </w:hyperlink>
            <w:r>
              <w:rPr>
                <w:sz w:val="20"/>
                <w:color w:val="392c69"/>
              </w:rPr>
              <w:t xml:space="preserve">, от 16.09.2020 </w:t>
            </w:r>
            <w:hyperlink w:history="0" r:id="rId264" w:tooltip="Постановление Правительства Пермского края от 16.09.2020 N 688-п &quot;О внесении изменений в отдельные постановления Правительства Пермского края по вопросам развития малого и среднего предпринимательства&quot; {КонсультантПлюс}">
              <w:r>
                <w:rPr>
                  <w:sz w:val="20"/>
                  <w:color w:val="0000ff"/>
                </w:rPr>
                <w:t xml:space="preserve">N 688-п</w:t>
              </w:r>
            </w:hyperlink>
            <w:r>
              <w:rPr>
                <w:sz w:val="20"/>
                <w:color w:val="392c69"/>
              </w:rPr>
              <w:t xml:space="preserve">, от 20.10.2021 </w:t>
            </w:r>
            <w:hyperlink w:history="0" r:id="rId265" w:tooltip="Постановление Правительства Пермского края от 20.10.2021 N 79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793-п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616" w:name="P616"/>
    <w:bookmarkEnd w:id="616"/>
    <w:p>
      <w:pPr>
        <w:pStyle w:val="0"/>
        <w:jc w:val="center"/>
      </w:pPr>
      <w:r>
        <w:rPr>
          <w:sz w:val="20"/>
        </w:rPr>
        <w:t xml:space="preserve">РАСЧЕТ</w:t>
      </w:r>
    </w:p>
    <w:p>
      <w:pPr>
        <w:pStyle w:val="0"/>
        <w:jc w:val="center"/>
      </w:pPr>
      <w:r>
        <w:rPr>
          <w:sz w:val="20"/>
        </w:rPr>
        <w:t xml:space="preserve">размера субсидии на возмещение части затрат, связанных</w:t>
      </w:r>
    </w:p>
    <w:p>
      <w:pPr>
        <w:pStyle w:val="0"/>
        <w:jc w:val="center"/>
      </w:pPr>
      <w:r>
        <w:rPr>
          <w:sz w:val="20"/>
        </w:rPr>
        <w:t xml:space="preserve">с оплатой субъектами малого и среднего предпринимательства</w:t>
      </w:r>
    </w:p>
    <w:p>
      <w:pPr>
        <w:pStyle w:val="0"/>
        <w:jc w:val="center"/>
      </w:pPr>
      <w:r>
        <w:rPr>
          <w:sz w:val="20"/>
        </w:rPr>
        <w:t xml:space="preserve">приобретения оборудования</w:t>
      </w:r>
    </w:p>
    <w:p>
      <w:pPr>
        <w:pStyle w:val="0"/>
        <w:jc w:val="both"/>
      </w:pPr>
      <w:r>
        <w:rPr>
          <w:sz w:val="20"/>
        </w:rPr>
      </w:r>
    </w:p>
    <w:p>
      <w:pPr>
        <w:pStyle w:val="0"/>
        <w:jc w:val="both"/>
      </w:pPr>
      <w:r>
        <w:rPr>
          <w:sz w:val="20"/>
        </w:rPr>
        <w:t xml:space="preserve">1.</w:t>
      </w:r>
    </w:p>
    <w:p>
      <w:pPr>
        <w:pStyle w:val="0"/>
        <w:spacing w:before="200" w:line-rule="auto"/>
        <w:jc w:val="both"/>
      </w:pPr>
      <w:r>
        <w:rPr>
          <w:sz w:val="20"/>
        </w:rPr>
        <w:t xml:space="preserve">____________________________________________________________________</w:t>
      </w:r>
    </w:p>
    <w:p>
      <w:pPr>
        <w:pStyle w:val="0"/>
        <w:spacing w:before="200" w:line-rule="auto"/>
      </w:pPr>
      <w:r>
        <w:rPr>
          <w:sz w:val="20"/>
        </w:rPr>
        <w:t xml:space="preserve">(полное наименование субъекта малого и среднего предпринимательства)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00"/>
        <w:gridCol w:w="1204"/>
        <w:gridCol w:w="1644"/>
        <w:gridCol w:w="1644"/>
        <w:gridCol w:w="1984"/>
        <w:gridCol w:w="2098"/>
      </w:tblGrid>
      <w:tr>
        <w:tc>
          <w:tcPr>
            <w:gridSpan w:val="2"/>
            <w:tcW w:w="1704" w:type="dxa"/>
          </w:tcPr>
          <w:p>
            <w:pPr>
              <w:pStyle w:val="0"/>
              <w:jc w:val="center"/>
            </w:pPr>
            <w:r>
              <w:rPr>
                <w:sz w:val="20"/>
              </w:rPr>
              <w:t xml:space="preserve">Договор приобретения оборудования</w:t>
            </w:r>
          </w:p>
        </w:tc>
        <w:tc>
          <w:tcPr>
            <w:tcW w:w="1644" w:type="dxa"/>
            <w:vMerge w:val="restart"/>
          </w:tcPr>
          <w:p>
            <w:pPr>
              <w:pStyle w:val="0"/>
              <w:jc w:val="center"/>
            </w:pPr>
            <w:r>
              <w:rPr>
                <w:sz w:val="20"/>
              </w:rPr>
              <w:t xml:space="preserve">Наименование оборудования</w:t>
            </w:r>
          </w:p>
        </w:tc>
        <w:tc>
          <w:tcPr>
            <w:tcW w:w="1644" w:type="dxa"/>
            <w:vMerge w:val="restart"/>
          </w:tcPr>
          <w:p>
            <w:pPr>
              <w:pStyle w:val="0"/>
              <w:jc w:val="center"/>
            </w:pPr>
            <w:r>
              <w:rPr>
                <w:sz w:val="20"/>
              </w:rPr>
              <w:t xml:space="preserve">Полная стоимость оборудования, включая монтаж, рублей</w:t>
            </w:r>
          </w:p>
        </w:tc>
        <w:tc>
          <w:tcPr>
            <w:tcW w:w="1984" w:type="dxa"/>
            <w:vMerge w:val="restart"/>
          </w:tcPr>
          <w:p>
            <w:pPr>
              <w:pStyle w:val="0"/>
              <w:jc w:val="center"/>
            </w:pPr>
            <w:r>
              <w:rPr>
                <w:sz w:val="20"/>
              </w:rPr>
              <w:t xml:space="preserve">Объем произведенных и подтвержденных затрат по оплате приобретения оборудования, рублей</w:t>
            </w:r>
          </w:p>
        </w:tc>
        <w:tc>
          <w:tcPr>
            <w:tcW w:w="2098" w:type="dxa"/>
            <w:vMerge w:val="restart"/>
          </w:tcPr>
          <w:p>
            <w:pPr>
              <w:pStyle w:val="0"/>
              <w:jc w:val="center"/>
            </w:pPr>
            <w:r>
              <w:rPr>
                <w:sz w:val="20"/>
              </w:rPr>
              <w:t xml:space="preserve">Сумма субсидии рассчитывается в соответствии с </w:t>
            </w:r>
            <w:hyperlink w:history="0" w:anchor="P144" w:tooltip="3.3. Субсидии на возмещение части затрат, связанных с приобретением оборудования, предоставляются единовременно в размере, указанном в паспорте бизнес-проекта (инвестиционного проекта) субъекта МСП, представляемого субъектом МСП, но не более 50% произведенных затрат, не более 5 млн рублей и не более чем один раз в три года.">
              <w:r>
                <w:rPr>
                  <w:sz w:val="20"/>
                  <w:color w:val="0000ff"/>
                </w:rPr>
                <w:t xml:space="preserve">пунктом 3.3</w:t>
              </w:r>
            </w:hyperlink>
            <w:r>
              <w:rPr>
                <w:sz w:val="20"/>
              </w:rPr>
              <w:t xml:space="preserve"> Порядка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утвержденного постановлением Правительства Пермского края</w:t>
            </w:r>
          </w:p>
        </w:tc>
      </w:tr>
      <w:tr>
        <w:tc>
          <w:tcPr>
            <w:tcW w:w="500" w:type="dxa"/>
          </w:tcPr>
          <w:p>
            <w:pPr>
              <w:pStyle w:val="0"/>
              <w:jc w:val="center"/>
            </w:pPr>
            <w:r>
              <w:rPr>
                <w:sz w:val="20"/>
              </w:rPr>
              <w:t xml:space="preserve">N</w:t>
            </w:r>
          </w:p>
        </w:tc>
        <w:tc>
          <w:tcPr>
            <w:tcW w:w="1204" w:type="dxa"/>
          </w:tcPr>
          <w:p>
            <w:pPr>
              <w:pStyle w:val="0"/>
              <w:jc w:val="center"/>
            </w:pPr>
            <w:r>
              <w:rPr>
                <w:sz w:val="20"/>
              </w:rPr>
              <w:t xml:space="preserve">дата</w:t>
            </w:r>
          </w:p>
        </w:tc>
        <w:tc>
          <w:tcPr>
            <w:vMerge w:val="continue"/>
          </w:tcPr>
          <w:p/>
        </w:tc>
        <w:tc>
          <w:tcPr>
            <w:vMerge w:val="continue"/>
          </w:tcPr>
          <w:p/>
        </w:tc>
        <w:tc>
          <w:tcPr>
            <w:vMerge w:val="continue"/>
          </w:tcPr>
          <w:p/>
        </w:tc>
        <w:tc>
          <w:tcPr>
            <w:vMerge w:val="continue"/>
          </w:tcPr>
          <w:p/>
        </w:tc>
      </w:tr>
      <w:tr>
        <w:tc>
          <w:tcPr>
            <w:tcW w:w="500" w:type="dxa"/>
            <w:vAlign w:val="center"/>
          </w:tcPr>
          <w:p>
            <w:pPr>
              <w:pStyle w:val="0"/>
              <w:jc w:val="center"/>
            </w:pPr>
            <w:r>
              <w:rPr>
                <w:sz w:val="20"/>
              </w:rPr>
              <w:t xml:space="preserve">1</w:t>
            </w:r>
          </w:p>
        </w:tc>
        <w:tc>
          <w:tcPr>
            <w:tcW w:w="1204" w:type="dxa"/>
            <w:vAlign w:val="center"/>
          </w:tcPr>
          <w:p>
            <w:pPr>
              <w:pStyle w:val="0"/>
              <w:jc w:val="center"/>
            </w:pPr>
            <w:r>
              <w:rPr>
                <w:sz w:val="20"/>
              </w:rPr>
              <w:t xml:space="preserve">2</w:t>
            </w:r>
          </w:p>
        </w:tc>
        <w:tc>
          <w:tcPr>
            <w:tcW w:w="1644" w:type="dxa"/>
            <w:vAlign w:val="center"/>
          </w:tcPr>
          <w:p>
            <w:pPr>
              <w:pStyle w:val="0"/>
              <w:jc w:val="center"/>
            </w:pPr>
            <w:r>
              <w:rPr>
                <w:sz w:val="20"/>
              </w:rPr>
              <w:t xml:space="preserve">3</w:t>
            </w:r>
          </w:p>
        </w:tc>
        <w:tc>
          <w:tcPr>
            <w:tcW w:w="1644" w:type="dxa"/>
            <w:vAlign w:val="center"/>
          </w:tcPr>
          <w:p>
            <w:pPr>
              <w:pStyle w:val="0"/>
              <w:jc w:val="center"/>
            </w:pPr>
            <w:r>
              <w:rPr>
                <w:sz w:val="20"/>
              </w:rPr>
              <w:t xml:space="preserve">4</w:t>
            </w:r>
          </w:p>
        </w:tc>
        <w:tc>
          <w:tcPr>
            <w:tcW w:w="1984" w:type="dxa"/>
            <w:vAlign w:val="center"/>
          </w:tcPr>
          <w:p>
            <w:pPr>
              <w:pStyle w:val="0"/>
              <w:jc w:val="center"/>
            </w:pPr>
            <w:r>
              <w:rPr>
                <w:sz w:val="20"/>
              </w:rPr>
              <w:t xml:space="preserve">5</w:t>
            </w:r>
          </w:p>
        </w:tc>
        <w:tc>
          <w:tcPr>
            <w:tcW w:w="2098" w:type="dxa"/>
            <w:vAlign w:val="center"/>
          </w:tcPr>
          <w:p>
            <w:pPr>
              <w:pStyle w:val="0"/>
              <w:jc w:val="center"/>
            </w:pPr>
            <w:r>
              <w:rPr>
                <w:sz w:val="20"/>
              </w:rPr>
              <w:t xml:space="preserve">6</w:t>
            </w:r>
          </w:p>
        </w:tc>
      </w:tr>
      <w:tr>
        <w:tc>
          <w:tcPr>
            <w:tcW w:w="500" w:type="dxa"/>
            <w:vAlign w:val="center"/>
          </w:tcPr>
          <w:p>
            <w:pPr>
              <w:pStyle w:val="0"/>
            </w:pPr>
            <w:r>
              <w:rPr>
                <w:sz w:val="20"/>
              </w:rPr>
            </w:r>
          </w:p>
        </w:tc>
        <w:tc>
          <w:tcPr>
            <w:tcW w:w="1204" w:type="dxa"/>
            <w:vAlign w:val="center"/>
          </w:tcPr>
          <w:p>
            <w:pPr>
              <w:pStyle w:val="0"/>
            </w:pPr>
            <w:r>
              <w:rPr>
                <w:sz w:val="20"/>
              </w:rPr>
            </w:r>
          </w:p>
        </w:tc>
        <w:tc>
          <w:tcPr>
            <w:tcW w:w="1644" w:type="dxa"/>
            <w:vAlign w:val="center"/>
          </w:tcPr>
          <w:p>
            <w:pPr>
              <w:pStyle w:val="0"/>
            </w:pPr>
            <w:r>
              <w:rPr>
                <w:sz w:val="20"/>
              </w:rPr>
            </w:r>
          </w:p>
        </w:tc>
        <w:tc>
          <w:tcPr>
            <w:tcW w:w="1644" w:type="dxa"/>
            <w:vAlign w:val="center"/>
          </w:tcPr>
          <w:p>
            <w:pPr>
              <w:pStyle w:val="0"/>
            </w:pPr>
            <w:r>
              <w:rPr>
                <w:sz w:val="20"/>
              </w:rPr>
            </w:r>
          </w:p>
        </w:tc>
        <w:tc>
          <w:tcPr>
            <w:tcW w:w="1984" w:type="dxa"/>
            <w:vAlign w:val="center"/>
          </w:tcPr>
          <w:p>
            <w:pPr>
              <w:pStyle w:val="0"/>
            </w:pPr>
            <w:r>
              <w:rPr>
                <w:sz w:val="20"/>
              </w:rPr>
            </w:r>
          </w:p>
        </w:tc>
        <w:tc>
          <w:tcPr>
            <w:tcW w:w="2098" w:type="dxa"/>
            <w:vAlign w:val="center"/>
          </w:tcPr>
          <w:p>
            <w:pPr>
              <w:pStyle w:val="0"/>
            </w:pPr>
            <w:r>
              <w:rPr>
                <w:sz w:val="20"/>
              </w:rPr>
            </w:r>
          </w:p>
        </w:tc>
      </w:tr>
      <w:tr>
        <w:tc>
          <w:tcPr>
            <w:gridSpan w:val="4"/>
            <w:tcW w:w="4992" w:type="dxa"/>
            <w:vAlign w:val="center"/>
          </w:tcPr>
          <w:p>
            <w:pPr>
              <w:pStyle w:val="0"/>
              <w:jc w:val="center"/>
            </w:pPr>
            <w:r>
              <w:rPr>
                <w:sz w:val="20"/>
              </w:rPr>
              <w:t xml:space="preserve">ИТОГО</w:t>
            </w:r>
          </w:p>
        </w:tc>
        <w:tc>
          <w:tcPr>
            <w:tcW w:w="1984" w:type="dxa"/>
          </w:tcPr>
          <w:p>
            <w:pPr>
              <w:pStyle w:val="0"/>
            </w:pPr>
            <w:r>
              <w:rPr>
                <w:sz w:val="20"/>
              </w:rPr>
            </w:r>
          </w:p>
        </w:tc>
        <w:tc>
          <w:tcPr>
            <w:tcW w:w="2098" w:type="dxa"/>
          </w:tcPr>
          <w:p>
            <w:pPr>
              <w:pStyle w:val="0"/>
            </w:pPr>
            <w:r>
              <w:rPr>
                <w:sz w:val="20"/>
              </w:rPr>
            </w:r>
          </w:p>
        </w:tc>
      </w:tr>
    </w:tbl>
    <w:p>
      <w:pPr>
        <w:pStyle w:val="0"/>
        <w:jc w:val="both"/>
      </w:pPr>
      <w:r>
        <w:rPr>
          <w:sz w:val="20"/>
        </w:rPr>
      </w:r>
    </w:p>
    <w:p>
      <w:pPr>
        <w:pStyle w:val="1"/>
        <w:jc w:val="both"/>
      </w:pPr>
      <w:r>
        <w:rPr>
          <w:sz w:val="20"/>
        </w:rPr>
        <w:t xml:space="preserve">Руководитель (индивидуальный предприниматель)</w:t>
      </w:r>
    </w:p>
    <w:p>
      <w:pPr>
        <w:pStyle w:val="1"/>
        <w:jc w:val="both"/>
      </w:pPr>
      <w:r>
        <w:rPr>
          <w:sz w:val="20"/>
        </w:rPr>
        <w:t xml:space="preserve">          __________________ (____________________________________)</w:t>
      </w:r>
    </w:p>
    <w:p>
      <w:pPr>
        <w:pStyle w:val="1"/>
        <w:jc w:val="both"/>
      </w:pPr>
      <w:r>
        <w:rPr>
          <w:sz w:val="20"/>
        </w:rPr>
        <w:t xml:space="preserve">   М.П.       (подпись)                      (ФИО)</w:t>
      </w:r>
    </w:p>
    <w:p>
      <w:pPr>
        <w:pStyle w:val="1"/>
        <w:jc w:val="both"/>
      </w:pPr>
      <w:r>
        <w:rPr>
          <w:sz w:val="20"/>
        </w:rPr>
        <w:t xml:space="preserve">(при наличии)</w:t>
      </w:r>
    </w:p>
    <w:p>
      <w:pPr>
        <w:pStyle w:val="1"/>
        <w:jc w:val="both"/>
      </w:pPr>
      <w:r>
        <w:rPr>
          <w:sz w:val="20"/>
        </w:rPr>
      </w:r>
    </w:p>
    <w:p>
      <w:pPr>
        <w:pStyle w:val="1"/>
        <w:jc w:val="both"/>
      </w:pPr>
      <w:r>
        <w:rPr>
          <w:sz w:val="20"/>
        </w:rPr>
        <w:t xml:space="preserve">"___" ________________ 20__ г.</w:t>
      </w:r>
    </w:p>
    <w:p>
      <w:pPr>
        <w:pStyle w:val="1"/>
        <w:jc w:val="both"/>
      </w:pPr>
      <w:r>
        <w:rPr>
          <w:sz w:val="20"/>
        </w:rPr>
        <w:t xml:space="preserve">___________________________________________ _____________ (_______________)</w:t>
      </w:r>
    </w:p>
    <w:p>
      <w:pPr>
        <w:pStyle w:val="1"/>
        <w:jc w:val="both"/>
      </w:pPr>
      <w:r>
        <w:rPr>
          <w:sz w:val="20"/>
        </w:rPr>
        <w:t xml:space="preserve">    (ответственное лицо Агентства)            (подпись)         (ФИО)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Порядку</w:t>
      </w:r>
    </w:p>
    <w:p>
      <w:pPr>
        <w:pStyle w:val="0"/>
        <w:jc w:val="right"/>
      </w:pPr>
      <w:r>
        <w:rPr>
          <w:sz w:val="20"/>
        </w:rPr>
        <w:t xml:space="preserve">предоставления субсидий из бюджета</w:t>
      </w:r>
    </w:p>
    <w:p>
      <w:pPr>
        <w:pStyle w:val="0"/>
        <w:jc w:val="right"/>
      </w:pPr>
      <w:r>
        <w:rPr>
          <w:sz w:val="20"/>
        </w:rPr>
        <w:t xml:space="preserve">Пермского края субъектам малого</w:t>
      </w:r>
    </w:p>
    <w:p>
      <w:pPr>
        <w:pStyle w:val="0"/>
        <w:jc w:val="right"/>
      </w:pPr>
      <w:r>
        <w:rPr>
          <w:sz w:val="20"/>
        </w:rPr>
        <w:t xml:space="preserve">и среднего предпринимательства</w:t>
      </w:r>
    </w:p>
    <w:p>
      <w:pPr>
        <w:pStyle w:val="0"/>
        <w:jc w:val="right"/>
      </w:pPr>
      <w:r>
        <w:rPr>
          <w:sz w:val="20"/>
        </w:rPr>
        <w:t xml:space="preserve">в целях возмещения части затрат,</w:t>
      </w:r>
    </w:p>
    <w:p>
      <w:pPr>
        <w:pStyle w:val="0"/>
        <w:jc w:val="right"/>
      </w:pPr>
      <w:r>
        <w:rPr>
          <w:sz w:val="20"/>
        </w:rPr>
        <w:t xml:space="preserve">связанных с осуществлением ими</w:t>
      </w:r>
    </w:p>
    <w:p>
      <w:pPr>
        <w:pStyle w:val="0"/>
        <w:jc w:val="right"/>
      </w:pPr>
      <w:r>
        <w:rPr>
          <w:sz w:val="20"/>
        </w:rPr>
        <w:t xml:space="preserve">предпринимательской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66"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color w:val="392c69"/>
              </w:rPr>
              <w:t xml:space="preserve"> Правительства Пермского края от 30.03.2023 N 222-п)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674" w:name="P674"/>
    <w:bookmarkEnd w:id="674"/>
    <w:p>
      <w:pPr>
        <w:pStyle w:val="0"/>
        <w:jc w:val="center"/>
      </w:pPr>
      <w:r>
        <w:rPr>
          <w:sz w:val="20"/>
        </w:rPr>
        <w:t xml:space="preserve">ПАСПОРТ</w:t>
      </w:r>
    </w:p>
    <w:p>
      <w:pPr>
        <w:pStyle w:val="0"/>
        <w:jc w:val="center"/>
      </w:pPr>
      <w:r>
        <w:rPr>
          <w:sz w:val="20"/>
        </w:rPr>
        <w:t xml:space="preserve">бизнес-проекта (инвестиционного проекта) субъекта малого</w:t>
      </w:r>
    </w:p>
    <w:p>
      <w:pPr>
        <w:pStyle w:val="0"/>
        <w:jc w:val="center"/>
      </w:pPr>
      <w:r>
        <w:rPr>
          <w:sz w:val="20"/>
        </w:rPr>
        <w:t xml:space="preserve">и среднего предпринимательства </w:t>
      </w:r>
      <w:hyperlink w:history="0" w:anchor="P941" w:tooltip="&lt;1&gt; К паспорту Проекта прилагаются копии документов, указанных в строках 4.2, 4.3 паспорта Проекта. При заполнении паспорта Проекта наличие пустых ячеек не допускается. В случае отсутствия данных по строкам указывать &quot;нет данных&quot;.">
        <w:r>
          <w:rPr>
            <w:sz w:val="20"/>
            <w:color w:val="0000ff"/>
          </w:rPr>
          <w:t xml:space="preserve">&lt;1&gt;</w:t>
        </w:r>
      </w:hyperlink>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4139"/>
        <w:gridCol w:w="1814"/>
        <w:gridCol w:w="2268"/>
      </w:tblGrid>
      <w:tr>
        <w:tc>
          <w:tcPr>
            <w:gridSpan w:val="4"/>
            <w:tcW w:w="9071" w:type="dxa"/>
            <w:vAlign w:val="center"/>
          </w:tcPr>
          <w:p>
            <w:pPr>
              <w:pStyle w:val="0"/>
              <w:outlineLvl w:val="2"/>
              <w:jc w:val="center"/>
            </w:pPr>
            <w:r>
              <w:rPr>
                <w:sz w:val="20"/>
              </w:rPr>
              <w:t xml:space="preserve">Раздел I. Общие и контактные данные</w:t>
            </w:r>
          </w:p>
        </w:tc>
      </w:tr>
      <w:tr>
        <w:tc>
          <w:tcPr>
            <w:tcW w:w="850" w:type="dxa"/>
            <w:vAlign w:val="center"/>
          </w:tcPr>
          <w:p>
            <w:pPr>
              <w:pStyle w:val="0"/>
              <w:jc w:val="center"/>
            </w:pPr>
            <w:r>
              <w:rPr>
                <w:sz w:val="20"/>
              </w:rPr>
              <w:t xml:space="preserve">1.1</w:t>
            </w:r>
          </w:p>
        </w:tc>
        <w:tc>
          <w:tcPr>
            <w:tcW w:w="4139" w:type="dxa"/>
            <w:vAlign w:val="center"/>
          </w:tcPr>
          <w:p>
            <w:pPr>
              <w:pStyle w:val="0"/>
            </w:pPr>
            <w:r>
              <w:rPr>
                <w:sz w:val="20"/>
              </w:rPr>
              <w:t xml:space="preserve">Полное наименование субъекта малого и среднего предпринимательства</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1.2</w:t>
            </w:r>
          </w:p>
        </w:tc>
        <w:tc>
          <w:tcPr>
            <w:tcW w:w="4139" w:type="dxa"/>
            <w:vAlign w:val="center"/>
          </w:tcPr>
          <w:p>
            <w:pPr>
              <w:pStyle w:val="0"/>
            </w:pPr>
            <w:r>
              <w:rPr>
                <w:sz w:val="20"/>
              </w:rPr>
              <w:t xml:space="preserve">Полное наименование бизнес-проекта (инвестиционного проекта) (далее - Проект)</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1.3</w:t>
            </w:r>
          </w:p>
        </w:tc>
        <w:tc>
          <w:tcPr>
            <w:tcW w:w="4139" w:type="dxa"/>
            <w:vAlign w:val="center"/>
          </w:tcPr>
          <w:p>
            <w:pPr>
              <w:pStyle w:val="0"/>
            </w:pPr>
            <w:r>
              <w:rPr>
                <w:sz w:val="20"/>
              </w:rPr>
              <w:t xml:space="preserve">Полное наименование субсидии в соответствии с </w:t>
            </w:r>
            <w:hyperlink w:history="0" w:anchor="P56" w:tooltip="1.2.1. субсидий на возмещение части затрат, связанных с приобретением субъектами МСП оборудования, включая затраты на монтаж оборудования, в целях создания и (или) развития либо модернизации производства товаров (работ, услуг) (далее - субсидия на возмещение части затрат, связанных с приобретением оборудования);">
              <w:r>
                <w:rPr>
                  <w:sz w:val="20"/>
                  <w:color w:val="0000ff"/>
                </w:rPr>
                <w:t xml:space="preserve">пунктами 1.2.1</w:t>
              </w:r>
            </w:hyperlink>
            <w:r>
              <w:rPr>
                <w:sz w:val="20"/>
              </w:rPr>
              <w:t xml:space="preserve">, </w:t>
            </w:r>
            <w:hyperlink w:history="0" w:anchor="P57" w:tooltip="1.2.2. субсидий на возмещение части затрат, связанных с уплатой субъектами малого и среднего предпринимательства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включая затраты на монтаж оборудования (далее - субсидия на возмещение части затрат, связанных с уплатой первого взноса (аванса) по договорам лизинга оборудования).">
              <w:r>
                <w:rPr>
                  <w:sz w:val="20"/>
                  <w:color w:val="0000ff"/>
                </w:rPr>
                <w:t xml:space="preserve">1.2.2</w:t>
              </w:r>
            </w:hyperlink>
            <w:r>
              <w:rPr>
                <w:sz w:val="20"/>
              </w:rPr>
              <w:t xml:space="preserve"> Порядка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утвержденного постановлением Правительства Пермского края от 28 декабря 2017 г. N 1100-п (далее - Порядок)</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1.4</w:t>
            </w:r>
          </w:p>
        </w:tc>
        <w:tc>
          <w:tcPr>
            <w:tcW w:w="4139" w:type="dxa"/>
            <w:vAlign w:val="center"/>
          </w:tcPr>
          <w:p>
            <w:pPr>
              <w:pStyle w:val="0"/>
            </w:pPr>
            <w:r>
              <w:rPr>
                <w:sz w:val="20"/>
              </w:rPr>
              <w:t xml:space="preserve">Код </w:t>
            </w:r>
            <w:hyperlink w:history="0" r:id="rId267" w:tooltip="&quot;ОК 029-2014 (КДЕС Ред. 2). Общероссийский классификатор видов экономической деятельности&quot; (утв. Приказом Росстандарта от 31.01.2014 N 14-ст) (ред. от 22.12.2022) {КонсультантПлюс}">
              <w:r>
                <w:rPr>
                  <w:sz w:val="20"/>
                  <w:color w:val="0000ff"/>
                </w:rPr>
                <w:t xml:space="preserve">ОКВЭД</w:t>
              </w:r>
            </w:hyperlink>
            <w:r>
              <w:rPr>
                <w:sz w:val="20"/>
              </w:rPr>
              <w:t xml:space="preserve"> с расшифровкой, в рамках которого реализуется Проект</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1.5</w:t>
            </w:r>
          </w:p>
        </w:tc>
        <w:tc>
          <w:tcPr>
            <w:tcW w:w="4139" w:type="dxa"/>
            <w:vAlign w:val="center"/>
          </w:tcPr>
          <w:p>
            <w:pPr>
              <w:pStyle w:val="0"/>
            </w:pPr>
            <w:r>
              <w:rPr>
                <w:sz w:val="20"/>
              </w:rPr>
              <w:t xml:space="preserve">ИНН, ОГРН (ОГРНИП), дата государственной регистрации субъекта малого и среднего предпринимательства</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1.6</w:t>
            </w:r>
          </w:p>
        </w:tc>
        <w:tc>
          <w:tcPr>
            <w:tcW w:w="4139" w:type="dxa"/>
            <w:vAlign w:val="center"/>
          </w:tcPr>
          <w:p>
            <w:pPr>
              <w:pStyle w:val="0"/>
            </w:pPr>
            <w:r>
              <w:rPr>
                <w:sz w:val="20"/>
              </w:rPr>
              <w:t xml:space="preserve">Телефон, e-mail субъекта малого и среднего предпринимательства</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1.7</w:t>
            </w:r>
          </w:p>
        </w:tc>
        <w:tc>
          <w:tcPr>
            <w:tcW w:w="4139" w:type="dxa"/>
            <w:vAlign w:val="center"/>
          </w:tcPr>
          <w:p>
            <w:pPr>
              <w:pStyle w:val="0"/>
            </w:pPr>
            <w:r>
              <w:rPr>
                <w:sz w:val="20"/>
              </w:rPr>
              <w:t xml:space="preserve">Контактное лицо от субъекта малого и среднего предпринимательства, его телефон и e-mail</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1.8</w:t>
            </w:r>
          </w:p>
        </w:tc>
        <w:tc>
          <w:tcPr>
            <w:tcW w:w="4139" w:type="dxa"/>
            <w:vAlign w:val="center"/>
          </w:tcPr>
          <w:p>
            <w:pPr>
              <w:pStyle w:val="0"/>
            </w:pPr>
            <w:r>
              <w:rPr>
                <w:sz w:val="20"/>
              </w:rPr>
              <w:t xml:space="preserve">Юридический адрес субъекта малого и среднего предпринимательства</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1.9</w:t>
            </w:r>
          </w:p>
        </w:tc>
        <w:tc>
          <w:tcPr>
            <w:tcW w:w="4139" w:type="dxa"/>
            <w:vAlign w:val="center"/>
          </w:tcPr>
          <w:p>
            <w:pPr>
              <w:pStyle w:val="0"/>
            </w:pPr>
            <w:r>
              <w:rPr>
                <w:sz w:val="20"/>
              </w:rPr>
              <w:t xml:space="preserve">Фактический адрес местонахождения оборудования, заявляемого к субсидированию</w:t>
            </w:r>
          </w:p>
        </w:tc>
        <w:tc>
          <w:tcPr>
            <w:gridSpan w:val="2"/>
            <w:tcW w:w="4082" w:type="dxa"/>
            <w:vAlign w:val="center"/>
          </w:tcPr>
          <w:p>
            <w:pPr>
              <w:pStyle w:val="0"/>
            </w:pPr>
            <w:r>
              <w:rPr>
                <w:sz w:val="20"/>
              </w:rPr>
            </w:r>
          </w:p>
        </w:tc>
      </w:tr>
      <w:tr>
        <w:tc>
          <w:tcPr>
            <w:gridSpan w:val="4"/>
            <w:tcW w:w="9071" w:type="dxa"/>
            <w:vAlign w:val="center"/>
          </w:tcPr>
          <w:p>
            <w:pPr>
              <w:pStyle w:val="0"/>
              <w:outlineLvl w:val="2"/>
              <w:jc w:val="center"/>
            </w:pPr>
            <w:r>
              <w:rPr>
                <w:sz w:val="20"/>
              </w:rPr>
              <w:t xml:space="preserve">Раздел II. Сведения о деятельности субъекта малого и среднего предпринимательства</w:t>
            </w:r>
          </w:p>
        </w:tc>
      </w:tr>
      <w:tr>
        <w:tc>
          <w:tcPr>
            <w:tcW w:w="850" w:type="dxa"/>
            <w:vAlign w:val="center"/>
          </w:tcPr>
          <w:bookmarkStart w:id="707" w:name="P707"/>
          <w:bookmarkEnd w:id="707"/>
          <w:p>
            <w:pPr>
              <w:pStyle w:val="0"/>
              <w:jc w:val="center"/>
            </w:pPr>
            <w:r>
              <w:rPr>
                <w:sz w:val="20"/>
              </w:rPr>
              <w:t xml:space="preserve">2.1</w:t>
            </w:r>
          </w:p>
        </w:tc>
        <w:tc>
          <w:tcPr>
            <w:tcW w:w="4139" w:type="dxa"/>
            <w:vAlign w:val="center"/>
          </w:tcPr>
          <w:p>
            <w:pPr>
              <w:pStyle w:val="0"/>
            </w:pPr>
            <w:r>
              <w:rPr>
                <w:sz w:val="20"/>
              </w:rPr>
              <w:t xml:space="preserve">Объем оборота реализованной продукции, товаров, услуг в тыс. руб., без учета НДС, включая экспорт (для индивидуальных предпринимателей - объем выручки, доход), за год, предшествующий отбору </w:t>
            </w:r>
            <w:hyperlink w:history="0" w:anchor="P942" w:tooltip="&lt;2&gt; Источник информации: документы, указанные в строке 4.2 паспорта Проекта. Копии указанных документов прилагаются к паспорту Проекта.">
              <w:r>
                <w:rPr>
                  <w:sz w:val="20"/>
                  <w:color w:val="0000ff"/>
                </w:rPr>
                <w:t xml:space="preserve">&lt;2&gt;</w:t>
              </w:r>
            </w:hyperlink>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2.2</w:t>
            </w:r>
          </w:p>
        </w:tc>
        <w:tc>
          <w:tcPr>
            <w:tcW w:w="4139" w:type="dxa"/>
            <w:vAlign w:val="center"/>
          </w:tcPr>
          <w:p>
            <w:pPr>
              <w:pStyle w:val="0"/>
            </w:pPr>
            <w:r>
              <w:rPr>
                <w:sz w:val="20"/>
              </w:rPr>
              <w:t xml:space="preserve">География поставок (указать), в том числе экспорт</w:t>
            </w:r>
          </w:p>
        </w:tc>
        <w:tc>
          <w:tcPr>
            <w:gridSpan w:val="2"/>
            <w:tcW w:w="4082" w:type="dxa"/>
            <w:vAlign w:val="center"/>
          </w:tcPr>
          <w:p>
            <w:pPr>
              <w:pStyle w:val="0"/>
            </w:pPr>
            <w:r>
              <w:rPr>
                <w:sz w:val="20"/>
              </w:rPr>
            </w:r>
          </w:p>
        </w:tc>
      </w:tr>
      <w:tr>
        <w:tc>
          <w:tcPr>
            <w:tcW w:w="850" w:type="dxa"/>
            <w:vAlign w:val="center"/>
          </w:tcPr>
          <w:bookmarkStart w:id="713" w:name="P713"/>
          <w:bookmarkEnd w:id="713"/>
          <w:p>
            <w:pPr>
              <w:pStyle w:val="0"/>
              <w:jc w:val="center"/>
            </w:pPr>
            <w:r>
              <w:rPr>
                <w:sz w:val="20"/>
              </w:rPr>
              <w:t xml:space="preserve">2.3</w:t>
            </w:r>
          </w:p>
        </w:tc>
        <w:tc>
          <w:tcPr>
            <w:tcW w:w="4139" w:type="dxa"/>
            <w:vAlign w:val="center"/>
          </w:tcPr>
          <w:p>
            <w:pPr>
              <w:pStyle w:val="0"/>
            </w:pPr>
            <w:r>
              <w:rPr>
                <w:sz w:val="20"/>
              </w:rPr>
              <w:t xml:space="preserve">Среднесписочная численность работников за год, предшествующий участию в отборе, ед. </w:t>
            </w:r>
            <w:hyperlink w:history="0" w:anchor="P943" w:tooltip="&lt;3&gt; Источник информации: документы, указанные в строке 4.3 паспорта Проекта. Копии указанных документов прилагаются к паспорту Проекта.">
              <w:r>
                <w:rPr>
                  <w:sz w:val="20"/>
                  <w:color w:val="0000ff"/>
                </w:rPr>
                <w:t xml:space="preserve">&lt;3&gt;</w:t>
              </w:r>
            </w:hyperlink>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2.4</w:t>
            </w:r>
          </w:p>
        </w:tc>
        <w:tc>
          <w:tcPr>
            <w:tcW w:w="4139" w:type="dxa"/>
            <w:vAlign w:val="center"/>
          </w:tcPr>
          <w:p>
            <w:pPr>
              <w:pStyle w:val="0"/>
            </w:pPr>
            <w:r>
              <w:rPr>
                <w:sz w:val="20"/>
              </w:rPr>
              <w:t xml:space="preserve">Среднемесячная заработная плата за год, предшествующий участию в отборе, руб. </w:t>
            </w:r>
            <w:hyperlink w:history="0" w:anchor="P943" w:tooltip="&lt;3&gt; Источник информации: документы, указанные в строке 4.3 паспорта Проекта. Копии указанных документов прилагаются к паспорту Проекта.">
              <w:r>
                <w:rPr>
                  <w:sz w:val="20"/>
                  <w:color w:val="0000ff"/>
                </w:rPr>
                <w:t xml:space="preserve">&lt;3&gt;</w:t>
              </w:r>
            </w:hyperlink>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2.5</w:t>
            </w:r>
          </w:p>
        </w:tc>
        <w:tc>
          <w:tcPr>
            <w:tcW w:w="4139" w:type="dxa"/>
            <w:vAlign w:val="center"/>
          </w:tcPr>
          <w:p>
            <w:pPr>
              <w:pStyle w:val="0"/>
            </w:pPr>
            <w:r>
              <w:rPr>
                <w:sz w:val="20"/>
              </w:rPr>
              <w:t xml:space="preserve">Система налогообложения</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2.6</w:t>
            </w:r>
          </w:p>
        </w:tc>
        <w:tc>
          <w:tcPr>
            <w:tcW w:w="4139" w:type="dxa"/>
            <w:vAlign w:val="center"/>
          </w:tcPr>
          <w:p>
            <w:pPr>
              <w:pStyle w:val="0"/>
            </w:pPr>
            <w:r>
              <w:rPr>
                <w:sz w:val="20"/>
              </w:rPr>
              <w:t xml:space="preserve">Объем налоговых отчислений за год, предшествующий участию в отборе, тыс. руб. </w:t>
            </w:r>
            <w:hyperlink w:history="0" w:anchor="P944" w:tooltip="&lt;4&gt; Источник информации: документы, указанные в строках 4.3, 4.4 паспорта Проекта.">
              <w:r>
                <w:rPr>
                  <w:sz w:val="20"/>
                  <w:color w:val="0000ff"/>
                </w:rPr>
                <w:t xml:space="preserve">&lt;4&gt;</w:t>
              </w:r>
            </w:hyperlink>
            <w:r>
              <w:rPr>
                <w:sz w:val="20"/>
              </w:rPr>
              <w:t xml:space="preserve">, в том числе:</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2.6.1</w:t>
            </w:r>
          </w:p>
        </w:tc>
        <w:tc>
          <w:tcPr>
            <w:tcW w:w="4139" w:type="dxa"/>
            <w:vAlign w:val="center"/>
          </w:tcPr>
          <w:p>
            <w:pPr>
              <w:pStyle w:val="0"/>
              <w:ind w:left="283"/>
            </w:pPr>
            <w:r>
              <w:rPr>
                <w:sz w:val="20"/>
              </w:rPr>
              <w:t xml:space="preserve">налог на прибыль (налог на доходы), тыс. руб.</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2.6.2</w:t>
            </w:r>
          </w:p>
        </w:tc>
        <w:tc>
          <w:tcPr>
            <w:tcW w:w="4139" w:type="dxa"/>
            <w:vAlign w:val="center"/>
          </w:tcPr>
          <w:p>
            <w:pPr>
              <w:pStyle w:val="0"/>
              <w:ind w:left="283"/>
            </w:pPr>
            <w:r>
              <w:rPr>
                <w:sz w:val="20"/>
              </w:rPr>
              <w:t xml:space="preserve">ЕСХН, тыс. руб.</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2.6.3</w:t>
            </w:r>
          </w:p>
        </w:tc>
        <w:tc>
          <w:tcPr>
            <w:tcW w:w="4139" w:type="dxa"/>
            <w:vAlign w:val="center"/>
          </w:tcPr>
          <w:p>
            <w:pPr>
              <w:pStyle w:val="0"/>
              <w:ind w:left="283"/>
            </w:pPr>
            <w:r>
              <w:rPr>
                <w:sz w:val="20"/>
              </w:rPr>
              <w:t xml:space="preserve">УСНО, тыс. руб.</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2.6.4</w:t>
            </w:r>
          </w:p>
        </w:tc>
        <w:tc>
          <w:tcPr>
            <w:tcW w:w="4139" w:type="dxa"/>
            <w:vAlign w:val="center"/>
          </w:tcPr>
          <w:p>
            <w:pPr>
              <w:pStyle w:val="0"/>
              <w:ind w:left="283"/>
            </w:pPr>
            <w:r>
              <w:rPr>
                <w:sz w:val="20"/>
              </w:rPr>
              <w:t xml:space="preserve">уплата патента, тыс. руб.</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2.6.5</w:t>
            </w:r>
          </w:p>
        </w:tc>
        <w:tc>
          <w:tcPr>
            <w:tcW w:w="4139" w:type="dxa"/>
            <w:vAlign w:val="center"/>
          </w:tcPr>
          <w:p>
            <w:pPr>
              <w:pStyle w:val="0"/>
              <w:ind w:left="283"/>
            </w:pPr>
            <w:r>
              <w:rPr>
                <w:sz w:val="20"/>
              </w:rPr>
              <w:t xml:space="preserve">налог на имущество, тыс. руб.</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2.6.6</w:t>
            </w:r>
          </w:p>
        </w:tc>
        <w:tc>
          <w:tcPr>
            <w:tcW w:w="4139" w:type="dxa"/>
            <w:vAlign w:val="center"/>
          </w:tcPr>
          <w:p>
            <w:pPr>
              <w:pStyle w:val="0"/>
              <w:ind w:left="283"/>
            </w:pPr>
            <w:r>
              <w:rPr>
                <w:sz w:val="20"/>
              </w:rPr>
              <w:t xml:space="preserve">транспортный налог, тыс. руб.</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2.6.7</w:t>
            </w:r>
          </w:p>
        </w:tc>
        <w:tc>
          <w:tcPr>
            <w:tcW w:w="4139" w:type="dxa"/>
            <w:vAlign w:val="center"/>
          </w:tcPr>
          <w:p>
            <w:pPr>
              <w:pStyle w:val="0"/>
              <w:ind w:left="283"/>
            </w:pPr>
            <w:r>
              <w:rPr>
                <w:sz w:val="20"/>
              </w:rPr>
              <w:t xml:space="preserve">земельный налог, тыс. руб.</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2.6.8</w:t>
            </w:r>
          </w:p>
        </w:tc>
        <w:tc>
          <w:tcPr>
            <w:tcW w:w="4139" w:type="dxa"/>
            <w:vAlign w:val="center"/>
          </w:tcPr>
          <w:p>
            <w:pPr>
              <w:pStyle w:val="0"/>
              <w:ind w:left="283"/>
            </w:pPr>
            <w:r>
              <w:rPr>
                <w:sz w:val="20"/>
              </w:rPr>
              <w:t xml:space="preserve">НДФЛ, тыс. руб.</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2.6.9</w:t>
            </w:r>
          </w:p>
        </w:tc>
        <w:tc>
          <w:tcPr>
            <w:tcW w:w="4139" w:type="dxa"/>
            <w:vAlign w:val="center"/>
          </w:tcPr>
          <w:p>
            <w:pPr>
              <w:pStyle w:val="0"/>
              <w:ind w:left="283"/>
            </w:pPr>
            <w:r>
              <w:rPr>
                <w:sz w:val="20"/>
              </w:rPr>
              <w:t xml:space="preserve">отчисления с заработной платы (внебюджетные фонды), тыс. руб.</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2.6.10</w:t>
            </w:r>
          </w:p>
        </w:tc>
        <w:tc>
          <w:tcPr>
            <w:tcW w:w="4139" w:type="dxa"/>
            <w:vAlign w:val="center"/>
          </w:tcPr>
          <w:p>
            <w:pPr>
              <w:pStyle w:val="0"/>
              <w:ind w:left="283"/>
            </w:pPr>
            <w:r>
              <w:rPr>
                <w:sz w:val="20"/>
              </w:rPr>
              <w:t xml:space="preserve">другие (указать), тыс. руб.</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2.7</w:t>
            </w:r>
          </w:p>
        </w:tc>
        <w:tc>
          <w:tcPr>
            <w:tcW w:w="4139" w:type="dxa"/>
            <w:vAlign w:val="center"/>
          </w:tcPr>
          <w:p>
            <w:pPr>
              <w:pStyle w:val="0"/>
            </w:pPr>
            <w:r>
              <w:rPr>
                <w:sz w:val="20"/>
              </w:rPr>
              <w:t xml:space="preserve">Дебиторская задолженность за год, предшествующий участию в отборе, тыс. руб.</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2.8</w:t>
            </w:r>
          </w:p>
        </w:tc>
        <w:tc>
          <w:tcPr>
            <w:tcW w:w="4139" w:type="dxa"/>
            <w:vAlign w:val="center"/>
          </w:tcPr>
          <w:p>
            <w:pPr>
              <w:pStyle w:val="0"/>
            </w:pPr>
            <w:r>
              <w:rPr>
                <w:sz w:val="20"/>
              </w:rPr>
              <w:t xml:space="preserve">Кредиторская задолженность за год, предшествующий участию в отборе, тыс. руб.</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2.9</w:t>
            </w:r>
          </w:p>
        </w:tc>
        <w:tc>
          <w:tcPr>
            <w:tcW w:w="4139" w:type="dxa"/>
            <w:vAlign w:val="center"/>
          </w:tcPr>
          <w:p>
            <w:pPr>
              <w:pStyle w:val="0"/>
            </w:pPr>
            <w:r>
              <w:rPr>
                <w:sz w:val="20"/>
              </w:rPr>
              <w:t xml:space="preserve">Финансовый результат организации за год, предшествующий участию в отборе (указать, чистая прибыль или убыток) </w:t>
            </w:r>
            <w:hyperlink w:history="0" w:anchor="P944" w:tooltip="&lt;4&gt; Источник информации: документы, указанные в строках 4.3, 4.4 паспорта Проекта.">
              <w:r>
                <w:rPr>
                  <w:sz w:val="20"/>
                  <w:color w:val="0000ff"/>
                </w:rPr>
                <w:t xml:space="preserve">&lt;4&gt;</w:t>
              </w:r>
            </w:hyperlink>
            <w:r>
              <w:rPr>
                <w:sz w:val="20"/>
              </w:rPr>
              <w:t xml:space="preserve">, тыс. руб.</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2.10</w:t>
            </w:r>
          </w:p>
        </w:tc>
        <w:tc>
          <w:tcPr>
            <w:tcW w:w="4139" w:type="dxa"/>
            <w:vAlign w:val="center"/>
          </w:tcPr>
          <w:p>
            <w:pPr>
              <w:pStyle w:val="0"/>
            </w:pPr>
            <w:r>
              <w:rPr>
                <w:sz w:val="20"/>
              </w:rPr>
              <w:t xml:space="preserve">Объем полученной государственной поддержки за три предшествующих участию в отборе отчетных года, тыс. руб.</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2.11</w:t>
            </w:r>
          </w:p>
        </w:tc>
        <w:tc>
          <w:tcPr>
            <w:tcW w:w="4139" w:type="dxa"/>
            <w:vAlign w:val="center"/>
          </w:tcPr>
          <w:p>
            <w:pPr>
              <w:pStyle w:val="0"/>
            </w:pPr>
            <w:r>
              <w:rPr>
                <w:sz w:val="20"/>
              </w:rPr>
              <w:t xml:space="preserve">Обеспеченность субъекта малого и среднего предпринимательства собственными ресурсами (земельный участок; производственные, административные помещения, здания, строения, сооружения) с указанием реквизитов документов, подтверждающих право собственности, а также наличие патентов на изобретения с указанием их реквизитов</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2.12</w:t>
            </w:r>
          </w:p>
        </w:tc>
        <w:tc>
          <w:tcPr>
            <w:tcW w:w="4139" w:type="dxa"/>
            <w:vAlign w:val="center"/>
          </w:tcPr>
          <w:p>
            <w:pPr>
              <w:pStyle w:val="0"/>
            </w:pPr>
            <w:r>
              <w:rPr>
                <w:sz w:val="20"/>
              </w:rPr>
              <w:t xml:space="preserve">Приоритетная целевая группа субъекта малого и среднего предпринимательства </w:t>
            </w:r>
            <w:hyperlink w:history="0" w:anchor="P945" w:tooltip="&lt;5&gt; В соответствии с пунктом 1.3.8 Порядка (указать).">
              <w:r>
                <w:rPr>
                  <w:sz w:val="20"/>
                  <w:color w:val="0000ff"/>
                </w:rPr>
                <w:t xml:space="preserve">&lt;5&gt;</w:t>
              </w:r>
            </w:hyperlink>
          </w:p>
        </w:tc>
        <w:tc>
          <w:tcPr>
            <w:gridSpan w:val="2"/>
            <w:tcW w:w="4082" w:type="dxa"/>
            <w:vAlign w:val="center"/>
          </w:tcPr>
          <w:p>
            <w:pPr>
              <w:pStyle w:val="0"/>
            </w:pPr>
            <w:r>
              <w:rPr>
                <w:sz w:val="20"/>
              </w:rPr>
            </w:r>
          </w:p>
        </w:tc>
      </w:tr>
      <w:tr>
        <w:tc>
          <w:tcPr>
            <w:gridSpan w:val="4"/>
            <w:tcW w:w="9071" w:type="dxa"/>
            <w:vAlign w:val="center"/>
          </w:tcPr>
          <w:p>
            <w:pPr>
              <w:pStyle w:val="0"/>
              <w:outlineLvl w:val="2"/>
              <w:jc w:val="center"/>
            </w:pPr>
            <w:r>
              <w:rPr>
                <w:sz w:val="20"/>
              </w:rPr>
              <w:t xml:space="preserve">Раздел III. Сведения о Проекте</w:t>
            </w:r>
          </w:p>
        </w:tc>
      </w:tr>
      <w:tr>
        <w:tc>
          <w:tcPr>
            <w:tcW w:w="850" w:type="dxa"/>
            <w:vAlign w:val="center"/>
          </w:tcPr>
          <w:p>
            <w:pPr>
              <w:pStyle w:val="0"/>
              <w:jc w:val="center"/>
            </w:pPr>
            <w:r>
              <w:rPr>
                <w:sz w:val="20"/>
              </w:rPr>
              <w:t xml:space="preserve">3.1</w:t>
            </w:r>
          </w:p>
        </w:tc>
        <w:tc>
          <w:tcPr>
            <w:tcW w:w="4139" w:type="dxa"/>
            <w:vAlign w:val="center"/>
          </w:tcPr>
          <w:p>
            <w:pPr>
              <w:pStyle w:val="0"/>
            </w:pPr>
            <w:r>
              <w:rPr>
                <w:sz w:val="20"/>
              </w:rPr>
              <w:t xml:space="preserve">Характеристика Проекта: описание и характеристики производимого товара (работы, услуги)</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3.1.1</w:t>
            </w:r>
          </w:p>
        </w:tc>
        <w:tc>
          <w:tcPr>
            <w:tcW w:w="4139" w:type="dxa"/>
            <w:vAlign w:val="center"/>
          </w:tcPr>
          <w:p>
            <w:pPr>
              <w:pStyle w:val="0"/>
              <w:ind w:left="283"/>
            </w:pPr>
            <w:r>
              <w:rPr>
                <w:sz w:val="20"/>
              </w:rPr>
              <w:t xml:space="preserve">конкурентные преимущества и недостатки производимого товара (работы, услуги)</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3.1.2</w:t>
            </w:r>
          </w:p>
        </w:tc>
        <w:tc>
          <w:tcPr>
            <w:tcW w:w="4139" w:type="dxa"/>
            <w:vAlign w:val="center"/>
          </w:tcPr>
          <w:p>
            <w:pPr>
              <w:pStyle w:val="0"/>
              <w:ind w:left="283"/>
            </w:pPr>
            <w:r>
              <w:rPr>
                <w:sz w:val="20"/>
              </w:rPr>
              <w:t xml:space="preserve">наименование импортозамещающей продукции</w:t>
            </w:r>
          </w:p>
          <w:p>
            <w:pPr>
              <w:pStyle w:val="0"/>
              <w:ind w:left="283"/>
            </w:pPr>
            <w:r>
              <w:rPr>
                <w:sz w:val="20"/>
              </w:rPr>
              <w:t xml:space="preserve">и (или) высокотехнологичной продукции, работ и услуг, производимой (производство которой предполагается) в рамках реализации Проекта, с указанием кода в соответствии с ОК 034-2014 </w:t>
            </w:r>
            <w:hyperlink w:history="0" r:id="rId268" w:tooltip="&quot;ОК 034-2014 (КПЕС 2008). Общероссийский классификатор продукции по видам экономической деятельности&quot; (утв. Приказом Росстандарта от 31.01.2014 N 14-ст) (ред. от 20.12.2022) {КонсультантПлюс}">
              <w:r>
                <w:rPr>
                  <w:sz w:val="20"/>
                  <w:color w:val="0000ff"/>
                </w:rPr>
                <w:t xml:space="preserve">(ОКПД 2)</w:t>
              </w:r>
            </w:hyperlink>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3.1.3</w:t>
            </w:r>
          </w:p>
        </w:tc>
        <w:tc>
          <w:tcPr>
            <w:tcW w:w="4139" w:type="dxa"/>
            <w:vAlign w:val="center"/>
          </w:tcPr>
          <w:p>
            <w:pPr>
              <w:pStyle w:val="0"/>
              <w:ind w:left="283"/>
            </w:pPr>
            <w:r>
              <w:rPr>
                <w:sz w:val="20"/>
              </w:rPr>
              <w:t xml:space="preserve">потребитель, каналы сбыта</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3.1.4</w:t>
            </w:r>
          </w:p>
        </w:tc>
        <w:tc>
          <w:tcPr>
            <w:tcW w:w="4139" w:type="dxa"/>
            <w:vAlign w:val="center"/>
          </w:tcPr>
          <w:p>
            <w:pPr>
              <w:pStyle w:val="0"/>
              <w:ind w:left="283"/>
            </w:pPr>
            <w:r>
              <w:rPr>
                <w:sz w:val="20"/>
              </w:rPr>
              <w:t xml:space="preserve">сезонность, перспективность и др.</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3.2</w:t>
            </w:r>
          </w:p>
        </w:tc>
        <w:tc>
          <w:tcPr>
            <w:tcW w:w="4139" w:type="dxa"/>
            <w:vAlign w:val="center"/>
          </w:tcPr>
          <w:p>
            <w:pPr>
              <w:pStyle w:val="0"/>
            </w:pPr>
            <w:r>
              <w:rPr>
                <w:sz w:val="20"/>
              </w:rPr>
              <w:t xml:space="preserve">Цель Проекта </w:t>
            </w:r>
            <w:hyperlink w:history="0" w:anchor="P946" w:tooltip="&lt;6&gt; Цель Проекта - желаемый результат деятельности, достижимый за намеченный (заданный) интервал времени и характеризующийся набором количественных данных или параметров этого результата.">
              <w:r>
                <w:rPr>
                  <w:sz w:val="20"/>
                  <w:color w:val="0000ff"/>
                </w:rPr>
                <w:t xml:space="preserve">&lt;6&gt;</w:t>
              </w:r>
            </w:hyperlink>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3.3</w:t>
            </w:r>
          </w:p>
        </w:tc>
        <w:tc>
          <w:tcPr>
            <w:tcW w:w="4139" w:type="dxa"/>
            <w:vAlign w:val="center"/>
          </w:tcPr>
          <w:p>
            <w:pPr>
              <w:pStyle w:val="0"/>
            </w:pPr>
            <w:r>
              <w:rPr>
                <w:sz w:val="20"/>
              </w:rPr>
              <w:t xml:space="preserve">Дата начала реализации проекта (месяц, год)</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3.4</w:t>
            </w:r>
          </w:p>
        </w:tc>
        <w:tc>
          <w:tcPr>
            <w:tcW w:w="4139" w:type="dxa"/>
            <w:vAlign w:val="center"/>
          </w:tcPr>
          <w:p>
            <w:pPr>
              <w:pStyle w:val="0"/>
            </w:pPr>
            <w:r>
              <w:rPr>
                <w:sz w:val="20"/>
              </w:rPr>
              <w:t xml:space="preserve">Планируемый срок реализации Проекта, года</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3.5</w:t>
            </w:r>
          </w:p>
        </w:tc>
        <w:tc>
          <w:tcPr>
            <w:tcW w:w="4139" w:type="dxa"/>
            <w:vAlign w:val="center"/>
          </w:tcPr>
          <w:p>
            <w:pPr>
              <w:pStyle w:val="0"/>
            </w:pPr>
            <w:r>
              <w:rPr>
                <w:sz w:val="20"/>
              </w:rPr>
              <w:t xml:space="preserve">Общая стоимость Проекта, всего, тыс. руб., в том числе:</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3.5.1</w:t>
            </w:r>
          </w:p>
        </w:tc>
        <w:tc>
          <w:tcPr>
            <w:tcW w:w="4139" w:type="dxa"/>
            <w:vAlign w:val="center"/>
          </w:tcPr>
          <w:p>
            <w:pPr>
              <w:pStyle w:val="0"/>
              <w:ind w:left="283"/>
            </w:pPr>
            <w:r>
              <w:rPr>
                <w:sz w:val="20"/>
              </w:rPr>
              <w:t xml:space="preserve">объем инвестиций в основной капитал, тыс. руб.</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3.5.2</w:t>
            </w:r>
          </w:p>
        </w:tc>
        <w:tc>
          <w:tcPr>
            <w:tcW w:w="4139" w:type="dxa"/>
            <w:vAlign w:val="center"/>
          </w:tcPr>
          <w:p>
            <w:pPr>
              <w:pStyle w:val="0"/>
              <w:ind w:left="283"/>
            </w:pPr>
            <w:r>
              <w:rPr>
                <w:sz w:val="20"/>
              </w:rPr>
              <w:t xml:space="preserve">объем инвестиций в оборотный капитал, тыс. руб.</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3.6</w:t>
            </w:r>
          </w:p>
        </w:tc>
        <w:tc>
          <w:tcPr>
            <w:tcW w:w="4139" w:type="dxa"/>
            <w:vAlign w:val="center"/>
          </w:tcPr>
          <w:p>
            <w:pPr>
              <w:pStyle w:val="0"/>
            </w:pPr>
            <w:r>
              <w:rPr>
                <w:sz w:val="20"/>
              </w:rPr>
              <w:t xml:space="preserve">Объем собственных средств (в том числе объем привлеченных займов, кредитов), тыс. руб.</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3.7</w:t>
            </w:r>
          </w:p>
        </w:tc>
        <w:tc>
          <w:tcPr>
            <w:tcW w:w="4139" w:type="dxa"/>
            <w:vAlign w:val="center"/>
          </w:tcPr>
          <w:p>
            <w:pPr>
              <w:pStyle w:val="0"/>
            </w:pPr>
            <w:r>
              <w:rPr>
                <w:sz w:val="20"/>
              </w:rPr>
              <w:t xml:space="preserve">Объем уже осуществленных затрат, всего, тыс. руб., в том числе:</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3.7.1</w:t>
            </w:r>
          </w:p>
        </w:tc>
        <w:tc>
          <w:tcPr>
            <w:tcW w:w="4139" w:type="dxa"/>
            <w:vAlign w:val="center"/>
          </w:tcPr>
          <w:p>
            <w:pPr>
              <w:pStyle w:val="0"/>
              <w:ind w:left="283"/>
            </w:pPr>
            <w:r>
              <w:rPr>
                <w:sz w:val="20"/>
              </w:rPr>
              <w:t xml:space="preserve">объем уже вложенных инвестиций в основной капитал, тыс. руб.</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3.8</w:t>
            </w:r>
          </w:p>
        </w:tc>
        <w:tc>
          <w:tcPr>
            <w:tcW w:w="4139" w:type="dxa"/>
            <w:vAlign w:val="center"/>
          </w:tcPr>
          <w:p>
            <w:pPr>
              <w:pStyle w:val="0"/>
            </w:pPr>
            <w:r>
              <w:rPr>
                <w:sz w:val="20"/>
              </w:rPr>
              <w:t xml:space="preserve">Затраты, предъявляемые к субсидированию, всего, руб., в том числе:</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3.8.1</w:t>
            </w:r>
          </w:p>
        </w:tc>
        <w:tc>
          <w:tcPr>
            <w:tcW w:w="4139" w:type="dxa"/>
            <w:vAlign w:val="center"/>
          </w:tcPr>
          <w:p>
            <w:pPr>
              <w:pStyle w:val="0"/>
            </w:pPr>
            <w:r>
              <w:rPr>
                <w:sz w:val="20"/>
              </w:rPr>
              <w:t xml:space="preserve">Наименование приобретенного оборудования</w:t>
            </w:r>
          </w:p>
        </w:tc>
        <w:tc>
          <w:tcPr>
            <w:tcW w:w="1814" w:type="dxa"/>
            <w:vAlign w:val="center"/>
          </w:tcPr>
          <w:p>
            <w:pPr>
              <w:pStyle w:val="0"/>
              <w:jc w:val="center"/>
            </w:pPr>
            <w:r>
              <w:rPr>
                <w:sz w:val="20"/>
              </w:rPr>
              <w:t xml:space="preserve">Стоимость, руб.</w:t>
            </w:r>
          </w:p>
        </w:tc>
        <w:tc>
          <w:tcPr>
            <w:tcW w:w="2268" w:type="dxa"/>
            <w:vAlign w:val="bottom"/>
          </w:tcPr>
          <w:p>
            <w:pPr>
              <w:pStyle w:val="0"/>
              <w:jc w:val="center"/>
            </w:pPr>
            <w:r>
              <w:rPr>
                <w:sz w:val="20"/>
              </w:rPr>
              <w:t xml:space="preserve">Обоснование необходимости для реализации Проекта</w:t>
            </w:r>
          </w:p>
        </w:tc>
      </w:tr>
      <w:tr>
        <w:tc>
          <w:tcPr>
            <w:tcW w:w="850" w:type="dxa"/>
            <w:vAlign w:val="center"/>
          </w:tcPr>
          <w:p>
            <w:pPr>
              <w:pStyle w:val="0"/>
              <w:jc w:val="center"/>
            </w:pPr>
            <w:r>
              <w:rPr>
                <w:sz w:val="20"/>
              </w:rPr>
              <w:t xml:space="preserve">3.8.1.1</w:t>
            </w:r>
          </w:p>
        </w:tc>
        <w:tc>
          <w:tcPr>
            <w:tcW w:w="4139" w:type="dxa"/>
            <w:vAlign w:val="center"/>
          </w:tcPr>
          <w:p>
            <w:pPr>
              <w:pStyle w:val="0"/>
            </w:pPr>
            <w:r>
              <w:rPr>
                <w:sz w:val="20"/>
              </w:rPr>
            </w:r>
          </w:p>
        </w:tc>
        <w:tc>
          <w:tcPr>
            <w:tcW w:w="1814" w:type="dxa"/>
            <w:vAlign w:val="center"/>
          </w:tcPr>
          <w:p>
            <w:pPr>
              <w:pStyle w:val="0"/>
            </w:pPr>
            <w:r>
              <w:rPr>
                <w:sz w:val="20"/>
              </w:rPr>
            </w:r>
          </w:p>
        </w:tc>
        <w:tc>
          <w:tcPr>
            <w:tcW w:w="2268" w:type="dxa"/>
            <w:vAlign w:val="bottom"/>
          </w:tcPr>
          <w:p>
            <w:pPr>
              <w:pStyle w:val="0"/>
            </w:pPr>
            <w:r>
              <w:rPr>
                <w:sz w:val="20"/>
              </w:rPr>
            </w:r>
          </w:p>
        </w:tc>
      </w:tr>
      <w:tr>
        <w:tc>
          <w:tcPr>
            <w:tcW w:w="850" w:type="dxa"/>
            <w:vAlign w:val="center"/>
          </w:tcPr>
          <w:p>
            <w:pPr>
              <w:pStyle w:val="0"/>
              <w:jc w:val="center"/>
            </w:pPr>
            <w:r>
              <w:rPr>
                <w:sz w:val="20"/>
              </w:rPr>
              <w:t xml:space="preserve">3.8.1.2</w:t>
            </w:r>
          </w:p>
        </w:tc>
        <w:tc>
          <w:tcPr>
            <w:tcW w:w="4139" w:type="dxa"/>
            <w:vAlign w:val="center"/>
          </w:tcPr>
          <w:p>
            <w:pPr>
              <w:pStyle w:val="0"/>
            </w:pPr>
            <w:r>
              <w:rPr>
                <w:sz w:val="20"/>
              </w:rPr>
            </w:r>
          </w:p>
        </w:tc>
        <w:tc>
          <w:tcPr>
            <w:tcW w:w="1814" w:type="dxa"/>
            <w:vAlign w:val="center"/>
          </w:tcPr>
          <w:p>
            <w:pPr>
              <w:pStyle w:val="0"/>
            </w:pPr>
            <w:r>
              <w:rPr>
                <w:sz w:val="20"/>
              </w:rPr>
            </w:r>
          </w:p>
        </w:tc>
        <w:tc>
          <w:tcPr>
            <w:tcW w:w="2268" w:type="dxa"/>
            <w:vAlign w:val="bottom"/>
          </w:tcPr>
          <w:p>
            <w:pPr>
              <w:pStyle w:val="0"/>
            </w:pPr>
            <w:r>
              <w:rPr>
                <w:sz w:val="20"/>
              </w:rPr>
            </w:r>
          </w:p>
        </w:tc>
      </w:tr>
      <w:tr>
        <w:tc>
          <w:tcPr>
            <w:tcW w:w="850" w:type="dxa"/>
            <w:vAlign w:val="center"/>
          </w:tcPr>
          <w:p>
            <w:pPr>
              <w:pStyle w:val="0"/>
              <w:jc w:val="center"/>
            </w:pPr>
            <w:r>
              <w:rPr>
                <w:sz w:val="20"/>
              </w:rPr>
              <w:t xml:space="preserve">3.9</w:t>
            </w:r>
          </w:p>
        </w:tc>
        <w:tc>
          <w:tcPr>
            <w:tcW w:w="4139" w:type="dxa"/>
            <w:vAlign w:val="center"/>
          </w:tcPr>
          <w:p>
            <w:pPr>
              <w:pStyle w:val="0"/>
            </w:pPr>
            <w:r>
              <w:rPr>
                <w:sz w:val="20"/>
              </w:rPr>
              <w:t xml:space="preserve">Сумма запрашиваемой субсидии, руб.</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3.10</w:t>
            </w:r>
          </w:p>
        </w:tc>
        <w:tc>
          <w:tcPr>
            <w:tcW w:w="4139" w:type="dxa"/>
            <w:vAlign w:val="center"/>
          </w:tcPr>
          <w:p>
            <w:pPr>
              <w:pStyle w:val="0"/>
            </w:pPr>
            <w:r>
              <w:rPr>
                <w:sz w:val="20"/>
              </w:rPr>
              <w:t xml:space="preserve">Планируемая средняя ежегодная чистая прибыль по итогам реализации Проекта, тыс. руб. в год</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3.11</w:t>
            </w:r>
          </w:p>
        </w:tc>
        <w:tc>
          <w:tcPr>
            <w:tcW w:w="4139" w:type="dxa"/>
            <w:vAlign w:val="center"/>
          </w:tcPr>
          <w:p>
            <w:pPr>
              <w:pStyle w:val="0"/>
            </w:pPr>
            <w:r>
              <w:rPr>
                <w:sz w:val="20"/>
              </w:rPr>
              <w:t xml:space="preserve">Ожидаемый экономический эффект от реализации Проекта </w:t>
            </w:r>
            <w:hyperlink w:history="0" w:anchor="P947" w:tooltip="&lt;7&gt; Рассчитывается как разница (прирост) значений прибыли до налогообложения на дату окончания реализации Проекта и на дату начала реализации Проекта.">
              <w:r>
                <w:rPr>
                  <w:sz w:val="20"/>
                  <w:color w:val="0000ff"/>
                </w:rPr>
                <w:t xml:space="preserve">&lt;7&gt;</w:t>
              </w:r>
            </w:hyperlink>
            <w:r>
              <w:rPr>
                <w:sz w:val="20"/>
              </w:rPr>
              <w:t xml:space="preserve">, тыс. руб. в год</w:t>
            </w:r>
          </w:p>
        </w:tc>
        <w:tc>
          <w:tcPr>
            <w:gridSpan w:val="2"/>
            <w:tcW w:w="4082" w:type="dxa"/>
            <w:vAlign w:val="center"/>
          </w:tcPr>
          <w:p>
            <w:pPr>
              <w:pStyle w:val="0"/>
            </w:pPr>
            <w:r>
              <w:rPr>
                <w:sz w:val="20"/>
              </w:rPr>
            </w:r>
          </w:p>
        </w:tc>
      </w:tr>
      <w:tr>
        <w:tc>
          <w:tcPr>
            <w:tcW w:w="850" w:type="dxa"/>
            <w:vAlign w:val="center"/>
          </w:tcPr>
          <w:bookmarkStart w:id="841" w:name="P841"/>
          <w:bookmarkEnd w:id="841"/>
          <w:p>
            <w:pPr>
              <w:pStyle w:val="0"/>
              <w:jc w:val="center"/>
            </w:pPr>
            <w:r>
              <w:rPr>
                <w:sz w:val="20"/>
              </w:rPr>
              <w:t xml:space="preserve">3.12</w:t>
            </w:r>
          </w:p>
        </w:tc>
        <w:tc>
          <w:tcPr>
            <w:tcW w:w="4139" w:type="dxa"/>
            <w:vAlign w:val="center"/>
          </w:tcPr>
          <w:p>
            <w:pPr>
              <w:pStyle w:val="0"/>
            </w:pPr>
            <w:r>
              <w:rPr>
                <w:sz w:val="20"/>
              </w:rPr>
              <w:t xml:space="preserve">Объем оборота реализованной продукции, товаров, услуг, тыс. руб., без учета НДС, включая экспорт (для индивидуальных предпринимателей - объем выручки, доход), по итогам текущего финансового года (оценка)</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3.13</w:t>
            </w:r>
          </w:p>
        </w:tc>
        <w:tc>
          <w:tcPr>
            <w:tcW w:w="4139" w:type="dxa"/>
            <w:vAlign w:val="center"/>
          </w:tcPr>
          <w:p>
            <w:pPr>
              <w:pStyle w:val="0"/>
            </w:pPr>
            <w:r>
              <w:rPr>
                <w:sz w:val="20"/>
              </w:rPr>
              <w:t xml:space="preserve">Экономический эффект от снижения затрат </w:t>
            </w:r>
            <w:hyperlink w:history="0" w:anchor="P948" w:tooltip="&lt;8&gt; Рассчитывается в случае, если целью Проекта является снижение затрат, как разница (снижение) значений фактического объема затрат на приобретение сырья, материалов, ресурсов на дату начала реализации Проекта и планового номинального объема затрат на приобретение сырья, материалов, ресурсов на дату его окончания, переведенная в денежную оценку.">
              <w:r>
                <w:rPr>
                  <w:sz w:val="20"/>
                  <w:color w:val="0000ff"/>
                </w:rPr>
                <w:t xml:space="preserve">&lt;8&gt;</w:t>
              </w:r>
            </w:hyperlink>
            <w:r>
              <w:rPr>
                <w:sz w:val="20"/>
              </w:rPr>
              <w:t xml:space="preserve">, тыс. руб.</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3.14</w:t>
            </w:r>
          </w:p>
        </w:tc>
        <w:tc>
          <w:tcPr>
            <w:tcW w:w="4139" w:type="dxa"/>
            <w:vAlign w:val="center"/>
          </w:tcPr>
          <w:p>
            <w:pPr>
              <w:pStyle w:val="0"/>
            </w:pPr>
            <w:r>
              <w:rPr>
                <w:sz w:val="20"/>
              </w:rPr>
              <w:t xml:space="preserve">Срок окупаемости Проекта </w:t>
            </w:r>
            <w:hyperlink w:history="0" w:anchor="P949" w:tooltip="&lt;9&gt; Рассчитывается как отношение общей стоимости Проекта к планируемой чистой прибыли от реализации Проекта.">
              <w:r>
                <w:rPr>
                  <w:sz w:val="20"/>
                  <w:color w:val="0000ff"/>
                </w:rPr>
                <w:t xml:space="preserve">&lt;9&gt;</w:t>
              </w:r>
            </w:hyperlink>
            <w:r>
              <w:rPr>
                <w:sz w:val="20"/>
              </w:rPr>
              <w:t xml:space="preserve">, год</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3.15</w:t>
            </w:r>
          </w:p>
        </w:tc>
        <w:tc>
          <w:tcPr>
            <w:tcW w:w="4139" w:type="dxa"/>
            <w:vAlign w:val="center"/>
          </w:tcPr>
          <w:p>
            <w:pPr>
              <w:pStyle w:val="0"/>
            </w:pPr>
            <w:r>
              <w:rPr>
                <w:sz w:val="20"/>
              </w:rPr>
              <w:t xml:space="preserve">Ожидаемый объем налоговых отчислений в результате реализации Проекта, в год, тыс. руб., в том числе:</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3.15.1</w:t>
            </w:r>
          </w:p>
        </w:tc>
        <w:tc>
          <w:tcPr>
            <w:tcW w:w="4139" w:type="dxa"/>
            <w:vAlign w:val="center"/>
          </w:tcPr>
          <w:p>
            <w:pPr>
              <w:pStyle w:val="0"/>
              <w:ind w:left="283"/>
            </w:pPr>
            <w:r>
              <w:rPr>
                <w:sz w:val="20"/>
              </w:rPr>
              <w:t xml:space="preserve">налог на прибыль (налог на доходы), тыс. руб.</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3.15.2</w:t>
            </w:r>
          </w:p>
        </w:tc>
        <w:tc>
          <w:tcPr>
            <w:tcW w:w="4139" w:type="dxa"/>
            <w:vAlign w:val="center"/>
          </w:tcPr>
          <w:p>
            <w:pPr>
              <w:pStyle w:val="0"/>
              <w:ind w:left="283"/>
            </w:pPr>
            <w:r>
              <w:rPr>
                <w:sz w:val="20"/>
              </w:rPr>
              <w:t xml:space="preserve">ЕСХН, тыс. руб.</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3.15.3</w:t>
            </w:r>
          </w:p>
        </w:tc>
        <w:tc>
          <w:tcPr>
            <w:tcW w:w="4139" w:type="dxa"/>
            <w:vAlign w:val="center"/>
          </w:tcPr>
          <w:p>
            <w:pPr>
              <w:pStyle w:val="0"/>
              <w:ind w:left="283"/>
            </w:pPr>
            <w:r>
              <w:rPr>
                <w:sz w:val="20"/>
              </w:rPr>
              <w:t xml:space="preserve">УСНО, тыс. руб.</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3.15.4</w:t>
            </w:r>
          </w:p>
        </w:tc>
        <w:tc>
          <w:tcPr>
            <w:tcW w:w="4139" w:type="dxa"/>
            <w:vAlign w:val="center"/>
          </w:tcPr>
          <w:p>
            <w:pPr>
              <w:pStyle w:val="0"/>
              <w:ind w:left="283"/>
            </w:pPr>
            <w:r>
              <w:rPr>
                <w:sz w:val="20"/>
              </w:rPr>
              <w:t xml:space="preserve">уплата патента, тыс. руб.</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3.15.5</w:t>
            </w:r>
          </w:p>
        </w:tc>
        <w:tc>
          <w:tcPr>
            <w:tcW w:w="4139" w:type="dxa"/>
            <w:vAlign w:val="center"/>
          </w:tcPr>
          <w:p>
            <w:pPr>
              <w:pStyle w:val="0"/>
              <w:ind w:left="283"/>
            </w:pPr>
            <w:r>
              <w:rPr>
                <w:sz w:val="20"/>
              </w:rPr>
              <w:t xml:space="preserve">налог на имущество, тыс. руб.</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3.15.6</w:t>
            </w:r>
          </w:p>
        </w:tc>
        <w:tc>
          <w:tcPr>
            <w:tcW w:w="4139" w:type="dxa"/>
            <w:vAlign w:val="center"/>
          </w:tcPr>
          <w:p>
            <w:pPr>
              <w:pStyle w:val="0"/>
              <w:ind w:left="283"/>
            </w:pPr>
            <w:r>
              <w:rPr>
                <w:sz w:val="20"/>
              </w:rPr>
              <w:t xml:space="preserve">транспортный налог, тыс. руб.</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3.15.7</w:t>
            </w:r>
          </w:p>
        </w:tc>
        <w:tc>
          <w:tcPr>
            <w:tcW w:w="4139" w:type="dxa"/>
            <w:vAlign w:val="center"/>
          </w:tcPr>
          <w:p>
            <w:pPr>
              <w:pStyle w:val="0"/>
              <w:ind w:left="283"/>
            </w:pPr>
            <w:r>
              <w:rPr>
                <w:sz w:val="20"/>
              </w:rPr>
              <w:t xml:space="preserve">земельный налог, тыс. руб.</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3.15.8</w:t>
            </w:r>
          </w:p>
        </w:tc>
        <w:tc>
          <w:tcPr>
            <w:tcW w:w="4139" w:type="dxa"/>
            <w:vAlign w:val="center"/>
          </w:tcPr>
          <w:p>
            <w:pPr>
              <w:pStyle w:val="0"/>
              <w:ind w:left="283"/>
            </w:pPr>
            <w:r>
              <w:rPr>
                <w:sz w:val="20"/>
              </w:rPr>
              <w:t xml:space="preserve">НДФЛ, тыс. руб.</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3.15.9</w:t>
            </w:r>
          </w:p>
        </w:tc>
        <w:tc>
          <w:tcPr>
            <w:tcW w:w="4139" w:type="dxa"/>
            <w:vAlign w:val="center"/>
          </w:tcPr>
          <w:p>
            <w:pPr>
              <w:pStyle w:val="0"/>
              <w:ind w:left="283"/>
            </w:pPr>
            <w:r>
              <w:rPr>
                <w:sz w:val="20"/>
              </w:rPr>
              <w:t xml:space="preserve">отчисления с заработной платы (внебюджетные фонды), тыс. руб.</w:t>
            </w:r>
          </w:p>
        </w:tc>
        <w:tc>
          <w:tcPr>
            <w:gridSpan w:val="2"/>
            <w:tcW w:w="4082" w:type="dxa"/>
            <w:vAlign w:val="center"/>
          </w:tcPr>
          <w:p>
            <w:pPr>
              <w:pStyle w:val="0"/>
            </w:pPr>
            <w:r>
              <w:rPr>
                <w:sz w:val="20"/>
              </w:rPr>
            </w:r>
          </w:p>
        </w:tc>
      </w:tr>
      <w:tr>
        <w:tc>
          <w:tcPr>
            <w:tcW w:w="850" w:type="dxa"/>
            <w:vAlign w:val="center"/>
          </w:tcPr>
          <w:p>
            <w:pPr>
              <w:pStyle w:val="0"/>
              <w:jc w:val="center"/>
            </w:pPr>
            <w:r>
              <w:rPr>
                <w:sz w:val="20"/>
              </w:rPr>
              <w:t xml:space="preserve">3.15.10</w:t>
            </w:r>
          </w:p>
        </w:tc>
        <w:tc>
          <w:tcPr>
            <w:tcW w:w="4139" w:type="dxa"/>
            <w:vAlign w:val="center"/>
          </w:tcPr>
          <w:p>
            <w:pPr>
              <w:pStyle w:val="0"/>
              <w:ind w:left="283"/>
            </w:pPr>
            <w:r>
              <w:rPr>
                <w:sz w:val="20"/>
              </w:rPr>
              <w:t xml:space="preserve">другие (указать), тыс. руб.</w:t>
            </w:r>
          </w:p>
        </w:tc>
        <w:tc>
          <w:tcPr>
            <w:gridSpan w:val="2"/>
            <w:tcW w:w="4082" w:type="dxa"/>
            <w:vAlign w:val="center"/>
          </w:tcPr>
          <w:p>
            <w:pPr>
              <w:pStyle w:val="0"/>
            </w:pPr>
            <w:r>
              <w:rPr>
                <w:sz w:val="20"/>
              </w:rPr>
            </w:r>
          </w:p>
        </w:tc>
      </w:tr>
      <w:tr>
        <w:tc>
          <w:tcPr>
            <w:tcW w:w="850" w:type="dxa"/>
            <w:vAlign w:val="center"/>
          </w:tcPr>
          <w:bookmarkStart w:id="883" w:name="P883"/>
          <w:bookmarkEnd w:id="883"/>
          <w:p>
            <w:pPr>
              <w:pStyle w:val="0"/>
              <w:jc w:val="center"/>
            </w:pPr>
            <w:r>
              <w:rPr>
                <w:sz w:val="20"/>
              </w:rPr>
              <w:t xml:space="preserve">3.16</w:t>
            </w:r>
          </w:p>
        </w:tc>
        <w:tc>
          <w:tcPr>
            <w:tcW w:w="4139" w:type="dxa"/>
            <w:vAlign w:val="bottom"/>
          </w:tcPr>
          <w:p>
            <w:pPr>
              <w:pStyle w:val="0"/>
            </w:pPr>
            <w:r>
              <w:rPr>
                <w:sz w:val="20"/>
              </w:rPr>
              <w:t xml:space="preserve">Количество вновь созданных (создаваемых) рабочих мест в результате реализации Проекта, ед., в том числе:</w:t>
            </w:r>
          </w:p>
        </w:tc>
        <w:tc>
          <w:tcPr>
            <w:gridSpan w:val="2"/>
            <w:tcW w:w="4082" w:type="dxa"/>
            <w:vAlign w:val="bottom"/>
          </w:tcPr>
          <w:p>
            <w:pPr>
              <w:pStyle w:val="0"/>
            </w:pPr>
            <w:r>
              <w:rPr>
                <w:sz w:val="20"/>
              </w:rPr>
            </w:r>
          </w:p>
        </w:tc>
      </w:tr>
      <w:tr>
        <w:tc>
          <w:tcPr>
            <w:tcW w:w="850" w:type="dxa"/>
            <w:vAlign w:val="center"/>
          </w:tcPr>
          <w:p>
            <w:pPr>
              <w:pStyle w:val="0"/>
              <w:jc w:val="center"/>
            </w:pPr>
            <w:r>
              <w:rPr>
                <w:sz w:val="20"/>
              </w:rPr>
              <w:t xml:space="preserve">3.16.1</w:t>
            </w:r>
          </w:p>
        </w:tc>
        <w:tc>
          <w:tcPr>
            <w:tcW w:w="4139" w:type="dxa"/>
            <w:vAlign w:val="center"/>
          </w:tcPr>
          <w:p>
            <w:pPr>
              <w:pStyle w:val="0"/>
              <w:ind w:left="283"/>
            </w:pPr>
            <w:r>
              <w:rPr>
                <w:sz w:val="20"/>
              </w:rPr>
              <w:t xml:space="preserve">до 31 декабря текущего года</w:t>
            </w:r>
          </w:p>
        </w:tc>
        <w:tc>
          <w:tcPr>
            <w:gridSpan w:val="2"/>
            <w:tcW w:w="4082" w:type="dxa"/>
          </w:tcPr>
          <w:p>
            <w:pPr>
              <w:pStyle w:val="0"/>
            </w:pPr>
            <w:r>
              <w:rPr>
                <w:sz w:val="20"/>
              </w:rPr>
            </w:r>
          </w:p>
        </w:tc>
      </w:tr>
      <w:tr>
        <w:tc>
          <w:tcPr>
            <w:tcW w:w="850" w:type="dxa"/>
            <w:vAlign w:val="center"/>
          </w:tcPr>
          <w:bookmarkStart w:id="889" w:name="P889"/>
          <w:bookmarkEnd w:id="889"/>
          <w:p>
            <w:pPr>
              <w:pStyle w:val="0"/>
              <w:jc w:val="center"/>
            </w:pPr>
            <w:r>
              <w:rPr>
                <w:sz w:val="20"/>
              </w:rPr>
              <w:t xml:space="preserve">3.17</w:t>
            </w:r>
          </w:p>
        </w:tc>
        <w:tc>
          <w:tcPr>
            <w:tcW w:w="4139" w:type="dxa"/>
            <w:vAlign w:val="center"/>
          </w:tcPr>
          <w:p>
            <w:pPr>
              <w:pStyle w:val="0"/>
            </w:pPr>
            <w:r>
              <w:rPr>
                <w:sz w:val="20"/>
              </w:rPr>
              <w:t xml:space="preserve">Среднесписочная численность работников в году предоставления субсидии (оценка), ед.</w:t>
            </w:r>
          </w:p>
        </w:tc>
        <w:tc>
          <w:tcPr>
            <w:gridSpan w:val="2"/>
            <w:tcW w:w="4082" w:type="dxa"/>
          </w:tcPr>
          <w:p>
            <w:pPr>
              <w:pStyle w:val="0"/>
            </w:pPr>
            <w:r>
              <w:rPr>
                <w:sz w:val="20"/>
              </w:rPr>
            </w:r>
          </w:p>
        </w:tc>
      </w:tr>
      <w:tr>
        <w:tc>
          <w:tcPr>
            <w:gridSpan w:val="4"/>
            <w:tcW w:w="9071" w:type="dxa"/>
            <w:vAlign w:val="center"/>
          </w:tcPr>
          <w:p>
            <w:pPr>
              <w:pStyle w:val="0"/>
              <w:outlineLvl w:val="2"/>
              <w:jc w:val="center"/>
            </w:pPr>
            <w:r>
              <w:rPr>
                <w:sz w:val="20"/>
              </w:rPr>
              <w:t xml:space="preserve">Раздел IV. Перечень документов, на основании которых заполнен паспорт Проекта</w:t>
            </w:r>
          </w:p>
        </w:tc>
      </w:tr>
      <w:tr>
        <w:tc>
          <w:tcPr>
            <w:gridSpan w:val="2"/>
            <w:tcW w:w="4989" w:type="dxa"/>
          </w:tcPr>
          <w:p>
            <w:pPr>
              <w:pStyle w:val="0"/>
              <w:jc w:val="center"/>
            </w:pPr>
            <w:r>
              <w:rPr>
                <w:sz w:val="20"/>
              </w:rPr>
              <w:t xml:space="preserve">Виды документов</w:t>
            </w:r>
          </w:p>
        </w:tc>
        <w:tc>
          <w:tcPr>
            <w:gridSpan w:val="2"/>
            <w:tcW w:w="4082" w:type="dxa"/>
          </w:tcPr>
          <w:p>
            <w:pPr>
              <w:pStyle w:val="0"/>
              <w:jc w:val="center"/>
            </w:pPr>
            <w:r>
              <w:rPr>
                <w:sz w:val="20"/>
              </w:rPr>
              <w:t xml:space="preserve">Отметить документы, на основании которых заполнен паспорт Проекта</w:t>
            </w:r>
          </w:p>
        </w:tc>
      </w:tr>
      <w:tr>
        <w:tc>
          <w:tcPr>
            <w:tcW w:w="850" w:type="dxa"/>
          </w:tcPr>
          <w:p>
            <w:pPr>
              <w:pStyle w:val="0"/>
              <w:jc w:val="center"/>
            </w:pPr>
            <w:r>
              <w:rPr>
                <w:sz w:val="20"/>
              </w:rPr>
              <w:t xml:space="preserve">4.1</w:t>
            </w:r>
          </w:p>
        </w:tc>
        <w:tc>
          <w:tcPr>
            <w:tcW w:w="4139" w:type="dxa"/>
          </w:tcPr>
          <w:p>
            <w:pPr>
              <w:pStyle w:val="0"/>
            </w:pPr>
            <w:r>
              <w:rPr>
                <w:sz w:val="20"/>
              </w:rPr>
              <w:t xml:space="preserve">Регистры бухгалтерского учета в соответствии с Федеральным </w:t>
            </w:r>
            <w:hyperlink w:history="0" r:id="rId269" w:tooltip="Федеральный закон от 06.12.2011 N 402-ФЗ (ред. от 05.12.2022) &quot;О бухгалтерском учете&quot; (с изм. и доп., вступ. в силу с 01.01.2023) {КонсультантПлюс}">
              <w:r>
                <w:rPr>
                  <w:sz w:val="20"/>
                  <w:color w:val="0000ff"/>
                </w:rPr>
                <w:t xml:space="preserve">законом</w:t>
              </w:r>
            </w:hyperlink>
            <w:r>
              <w:rPr>
                <w:sz w:val="20"/>
              </w:rPr>
              <w:t xml:space="preserve"> от 06 декабря 2011 г. N 402-ФЗ "О бухгалтерском учете" (перечислить)</w:t>
            </w:r>
          </w:p>
        </w:tc>
        <w:tc>
          <w:tcPr>
            <w:gridSpan w:val="2"/>
            <w:tcW w:w="4082" w:type="dxa"/>
          </w:tcPr>
          <w:p>
            <w:pPr>
              <w:pStyle w:val="0"/>
            </w:pPr>
            <w:r>
              <w:rPr>
                <w:sz w:val="20"/>
              </w:rPr>
            </w:r>
          </w:p>
        </w:tc>
      </w:tr>
      <w:tr>
        <w:tc>
          <w:tcPr>
            <w:tcW w:w="850" w:type="dxa"/>
            <w:vMerge w:val="restart"/>
          </w:tcPr>
          <w:bookmarkStart w:id="898" w:name="P898"/>
          <w:bookmarkEnd w:id="898"/>
          <w:p>
            <w:pPr>
              <w:pStyle w:val="0"/>
              <w:jc w:val="center"/>
            </w:pPr>
            <w:r>
              <w:rPr>
                <w:sz w:val="20"/>
              </w:rPr>
              <w:t xml:space="preserve">4.2</w:t>
            </w:r>
          </w:p>
        </w:tc>
        <w:tc>
          <w:tcPr>
            <w:tcW w:w="4139" w:type="dxa"/>
          </w:tcPr>
          <w:p>
            <w:pPr>
              <w:pStyle w:val="0"/>
            </w:pPr>
            <w:r>
              <w:rPr>
                <w:sz w:val="20"/>
              </w:rPr>
              <w:t xml:space="preserve">Отчет о финансовых результатах (отчет о прибылях и убытках), форма </w:t>
            </w:r>
            <w:hyperlink w:history="0" r:id="rId270" w:tooltip="&quot;ОК 011-93. Общероссийский классификатор управленческой документации&quot; (утв. Постановлением Госстандарта России от 30.12.1993 N 299) (ред. от 01.12.2022) ------------ Недействующая редакция {КонсультантПлюс}">
              <w:r>
                <w:rPr>
                  <w:sz w:val="20"/>
                  <w:color w:val="0000ff"/>
                </w:rPr>
                <w:t xml:space="preserve">ОКУД</w:t>
              </w:r>
            </w:hyperlink>
            <w:r>
              <w:rPr>
                <w:sz w:val="20"/>
              </w:rPr>
              <w:t xml:space="preserve"> 0710002</w:t>
            </w:r>
          </w:p>
        </w:tc>
        <w:tc>
          <w:tcPr>
            <w:gridSpan w:val="2"/>
            <w:tcW w:w="4082" w:type="dxa"/>
          </w:tcPr>
          <w:p>
            <w:pPr>
              <w:pStyle w:val="0"/>
            </w:pPr>
            <w:r>
              <w:rPr>
                <w:sz w:val="20"/>
              </w:rPr>
            </w:r>
          </w:p>
        </w:tc>
      </w:tr>
      <w:tr>
        <w:tc>
          <w:tcPr>
            <w:vMerge w:val="continue"/>
          </w:tcPr>
          <w:p/>
        </w:tc>
        <w:tc>
          <w:tcPr>
            <w:tcW w:w="4139" w:type="dxa"/>
          </w:tcPr>
          <w:p>
            <w:pPr>
              <w:pStyle w:val="0"/>
            </w:pPr>
            <w:hyperlink w:history="0" r:id="rId271" w:tooltip="Приказ Минфина России от 11.12.2006 N 169н (ред. от 07.12.2016) &quot;Об утверждении формы Книги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и порядка ее заполнения&quot; (Зарегистрировано в Минюсте России 17.01.2007 N 8778) {КонсультантПлюс}">
              <w:r>
                <w:rPr>
                  <w:sz w:val="20"/>
                  <w:color w:val="0000ff"/>
                </w:rPr>
                <w:t xml:space="preserve">Книга</w:t>
              </w:r>
            </w:hyperlink>
            <w:r>
              <w:rPr>
                <w:sz w:val="20"/>
              </w:rPr>
              <w:t xml:space="preserve">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по форме, утвержденной приказом Министерства финансов Российской Федерации от 11 декабря 2006 г. N 169н "Об утверждении формы Книги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и порядка ее заполнения"</w:t>
            </w:r>
          </w:p>
        </w:tc>
        <w:tc>
          <w:tcPr>
            <w:gridSpan w:val="2"/>
            <w:tcW w:w="4082" w:type="dxa"/>
          </w:tcPr>
          <w:p>
            <w:pPr>
              <w:pStyle w:val="0"/>
            </w:pPr>
            <w:r>
              <w:rPr>
                <w:sz w:val="20"/>
              </w:rPr>
            </w:r>
          </w:p>
        </w:tc>
      </w:tr>
      <w:tr>
        <w:tc>
          <w:tcPr>
            <w:vMerge w:val="continue"/>
          </w:tcPr>
          <w:p/>
        </w:tc>
        <w:tc>
          <w:tcPr>
            <w:tcW w:w="4139" w:type="dxa"/>
          </w:tcPr>
          <w:p>
            <w:pPr>
              <w:pStyle w:val="0"/>
            </w:pPr>
            <w:hyperlink w:history="0" r:id="rId272" w:tooltip="Приказ Минфина России от 22.10.2012 N 135н (ред. от 07.12.2016) &quot;Об утверждении форм Книги учета доходов и расходов организаций и индивидуальных предпринимателей, применяющих упрощенную систему налогообложения, Книги учета доходов индивидуальных предпринимателей, применяющих патентную систему налогообложения, и Порядков их заполнения&quot; (Зарегистрировано в Минюсте России 21.12.2012 N 26233) {КонсультантПлюс}">
              <w:r>
                <w:rPr>
                  <w:sz w:val="20"/>
                  <w:color w:val="0000ff"/>
                </w:rPr>
                <w:t xml:space="preserve">Книга</w:t>
              </w:r>
            </w:hyperlink>
            <w:r>
              <w:rPr>
                <w:sz w:val="20"/>
              </w:rPr>
              <w:t xml:space="preserve"> учета доходов и расходов организаций и индивидуальных предпринимателей, применяющих упрощенную систему налогообложения, по форме, утвержденной приказом Министерства финансов Российской Федерации от 22 октября 2012 г. N 135н "Об утверждении форм Книги учета доходов и расходов организаций и индивидуальных предпринимателей, применяющих упрощенную систему налогообложения, Книги учета доходов индивидуальных предпринимателей, применяющих патентную систему налогообложения, и Порядков их заполнения"</w:t>
            </w:r>
          </w:p>
        </w:tc>
        <w:tc>
          <w:tcPr>
            <w:gridSpan w:val="2"/>
            <w:tcW w:w="4082" w:type="dxa"/>
          </w:tcPr>
          <w:p>
            <w:pPr>
              <w:pStyle w:val="0"/>
            </w:pPr>
            <w:r>
              <w:rPr>
                <w:sz w:val="20"/>
              </w:rPr>
            </w:r>
          </w:p>
        </w:tc>
      </w:tr>
      <w:tr>
        <w:tc>
          <w:tcPr>
            <w:vMerge w:val="continue"/>
          </w:tcPr>
          <w:p/>
        </w:tc>
        <w:tc>
          <w:tcPr>
            <w:tcW w:w="4139" w:type="dxa"/>
          </w:tcPr>
          <w:p>
            <w:pPr>
              <w:pStyle w:val="0"/>
            </w:pPr>
            <w:hyperlink w:history="0" r:id="rId273" w:tooltip="Приказ Минфина России от 22.10.2012 N 135н (ред. от 07.12.2016) &quot;Об утверждении форм Книги учета доходов и расходов организаций и индивидуальных предпринимателей, применяющих упрощенную систему налогообложения, Книги учета доходов индивидуальных предпринимателей, применяющих патентную систему налогообложения, и Порядков их заполнения&quot; (Зарегистрировано в Минюсте России 21.12.2012 N 26233) {КонсультантПлюс}">
              <w:r>
                <w:rPr>
                  <w:sz w:val="20"/>
                  <w:color w:val="0000ff"/>
                </w:rPr>
                <w:t xml:space="preserve">Книга</w:t>
              </w:r>
            </w:hyperlink>
            <w:r>
              <w:rPr>
                <w:sz w:val="20"/>
              </w:rPr>
              <w:t xml:space="preserve"> учета доходов индивидуальных предпринимателей, применяющих патентную систему налогообложения, по форме, утвержденной приказом Министерства финансов Российской Федерации от 22 октября 2012 г. N 135н "Об утверждении форм Книги учета доходов и расходов организаций и индивидуальных предпринимателей, применяющих упрощенную систему налогообложения, Книги учета доходов индивидуальных предпринимателей, применяющих патентную систему налогообложения, и Порядков их заполнения"</w:t>
            </w:r>
          </w:p>
        </w:tc>
        <w:tc>
          <w:tcPr>
            <w:gridSpan w:val="2"/>
            <w:tcW w:w="4082" w:type="dxa"/>
          </w:tcPr>
          <w:p>
            <w:pPr>
              <w:pStyle w:val="0"/>
            </w:pPr>
            <w:r>
              <w:rPr>
                <w:sz w:val="20"/>
              </w:rPr>
            </w:r>
          </w:p>
        </w:tc>
      </w:tr>
      <w:tr>
        <w:tc>
          <w:tcPr>
            <w:vMerge w:val="continue"/>
          </w:tcPr>
          <w:p/>
        </w:tc>
        <w:tc>
          <w:tcPr>
            <w:tcW w:w="4139" w:type="dxa"/>
          </w:tcPr>
          <w:p>
            <w:pPr>
              <w:pStyle w:val="0"/>
            </w:pPr>
            <w:r>
              <w:rPr>
                <w:sz w:val="20"/>
              </w:rPr>
              <w:t xml:space="preserve">Иные регистры бухгалтерского учета в соответствии с Федеральным </w:t>
            </w:r>
            <w:hyperlink w:history="0" r:id="rId274" w:tooltip="Федеральный закон от 06.12.2011 N 402-ФЗ (ред. от 05.12.2022) &quot;О бухгалтерском учете&quot; (с изм. и доп., вступ. в силу с 01.01.2023) {КонсультантПлюс}">
              <w:r>
                <w:rPr>
                  <w:sz w:val="20"/>
                  <w:color w:val="0000ff"/>
                </w:rPr>
                <w:t xml:space="preserve">законом</w:t>
              </w:r>
            </w:hyperlink>
            <w:r>
              <w:rPr>
                <w:sz w:val="20"/>
              </w:rPr>
              <w:t xml:space="preserve"> от 06 декабря 2011 г. N 402-ФЗ "О бухгалтерском учете" (перечислить)</w:t>
            </w:r>
          </w:p>
        </w:tc>
        <w:tc>
          <w:tcPr>
            <w:gridSpan w:val="2"/>
            <w:tcW w:w="4082" w:type="dxa"/>
          </w:tcPr>
          <w:p>
            <w:pPr>
              <w:pStyle w:val="0"/>
            </w:pPr>
            <w:r>
              <w:rPr>
                <w:sz w:val="20"/>
              </w:rPr>
            </w:r>
          </w:p>
        </w:tc>
      </w:tr>
      <w:tr>
        <w:tc>
          <w:tcPr>
            <w:tcW w:w="850" w:type="dxa"/>
            <w:vMerge w:val="restart"/>
          </w:tcPr>
          <w:bookmarkStart w:id="909" w:name="P909"/>
          <w:bookmarkEnd w:id="909"/>
          <w:p>
            <w:pPr>
              <w:pStyle w:val="0"/>
              <w:jc w:val="center"/>
            </w:pPr>
            <w:r>
              <w:rPr>
                <w:sz w:val="20"/>
              </w:rPr>
              <w:t xml:space="preserve">4.3</w:t>
            </w:r>
          </w:p>
        </w:tc>
        <w:tc>
          <w:tcPr>
            <w:tcW w:w="4139" w:type="dxa"/>
          </w:tcPr>
          <w:p>
            <w:pPr>
              <w:pStyle w:val="0"/>
            </w:pPr>
            <w:r>
              <w:rPr>
                <w:sz w:val="20"/>
              </w:rPr>
              <w:t xml:space="preserve">Расчет по страховым взносам по форме КНД 1151111 за год, предшествующий участию в отборе</w:t>
            </w:r>
          </w:p>
        </w:tc>
        <w:tc>
          <w:tcPr>
            <w:gridSpan w:val="2"/>
            <w:tcW w:w="4082" w:type="dxa"/>
          </w:tcPr>
          <w:p>
            <w:pPr>
              <w:pStyle w:val="0"/>
            </w:pPr>
            <w:r>
              <w:rPr>
                <w:sz w:val="20"/>
              </w:rPr>
            </w:r>
          </w:p>
        </w:tc>
      </w:tr>
      <w:tr>
        <w:tc>
          <w:tcPr>
            <w:vMerge w:val="continue"/>
          </w:tcPr>
          <w:p/>
        </w:tc>
        <w:tc>
          <w:tcPr>
            <w:tcW w:w="4139" w:type="dxa"/>
          </w:tcPr>
          <w:p>
            <w:pPr>
              <w:pStyle w:val="0"/>
            </w:pPr>
            <w:r>
              <w:rPr>
                <w:sz w:val="20"/>
              </w:rPr>
              <w:t xml:space="preserve">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по форме 4-ФСС</w:t>
            </w:r>
          </w:p>
        </w:tc>
        <w:tc>
          <w:tcPr>
            <w:gridSpan w:val="2"/>
            <w:tcW w:w="4082" w:type="dxa"/>
          </w:tcPr>
          <w:p>
            <w:pPr>
              <w:pStyle w:val="0"/>
            </w:pPr>
            <w:r>
              <w:rPr>
                <w:sz w:val="20"/>
              </w:rPr>
            </w:r>
          </w:p>
        </w:tc>
      </w:tr>
      <w:tr>
        <w:tc>
          <w:tcPr>
            <w:tcW w:w="850" w:type="dxa"/>
            <w:vMerge w:val="restart"/>
          </w:tcPr>
          <w:bookmarkStart w:id="914" w:name="P914"/>
          <w:bookmarkEnd w:id="914"/>
          <w:p>
            <w:pPr>
              <w:pStyle w:val="0"/>
              <w:jc w:val="center"/>
            </w:pPr>
            <w:r>
              <w:rPr>
                <w:sz w:val="20"/>
              </w:rPr>
              <w:t xml:space="preserve">4.4</w:t>
            </w:r>
          </w:p>
        </w:tc>
        <w:tc>
          <w:tcPr>
            <w:tcW w:w="4139" w:type="dxa"/>
          </w:tcPr>
          <w:p>
            <w:pPr>
              <w:pStyle w:val="0"/>
            </w:pPr>
            <w:r>
              <w:rPr>
                <w:sz w:val="20"/>
              </w:rPr>
              <w:t xml:space="preserve">Налоговая декларация по налогу, уплачиваемому в связи с применением упрощенной системы налогообложения, по форме КНД 1152017</w:t>
            </w:r>
          </w:p>
        </w:tc>
        <w:tc>
          <w:tcPr>
            <w:gridSpan w:val="2"/>
            <w:tcW w:w="4082" w:type="dxa"/>
          </w:tcPr>
          <w:p>
            <w:pPr>
              <w:pStyle w:val="0"/>
            </w:pPr>
            <w:r>
              <w:rPr>
                <w:sz w:val="20"/>
              </w:rPr>
            </w:r>
          </w:p>
        </w:tc>
      </w:tr>
      <w:tr>
        <w:tc>
          <w:tcPr>
            <w:vMerge w:val="continue"/>
          </w:tcPr>
          <w:p/>
        </w:tc>
        <w:tc>
          <w:tcPr>
            <w:tcW w:w="4139" w:type="dxa"/>
          </w:tcPr>
          <w:p>
            <w:pPr>
              <w:pStyle w:val="0"/>
            </w:pPr>
            <w:r>
              <w:rPr>
                <w:sz w:val="20"/>
              </w:rPr>
              <w:t xml:space="preserve">Налоговая декларация по единому сельскохозяйственному налогу по форме КНД 1151059</w:t>
            </w:r>
          </w:p>
        </w:tc>
        <w:tc>
          <w:tcPr>
            <w:gridSpan w:val="2"/>
            <w:tcW w:w="4082" w:type="dxa"/>
          </w:tcPr>
          <w:p>
            <w:pPr>
              <w:pStyle w:val="0"/>
            </w:pPr>
            <w:r>
              <w:rPr>
                <w:sz w:val="20"/>
              </w:rPr>
            </w:r>
          </w:p>
        </w:tc>
      </w:tr>
      <w:tr>
        <w:tc>
          <w:tcPr>
            <w:vMerge w:val="continue"/>
          </w:tcPr>
          <w:p/>
        </w:tc>
        <w:tc>
          <w:tcPr>
            <w:tcW w:w="4139" w:type="dxa"/>
          </w:tcPr>
          <w:p>
            <w:pPr>
              <w:pStyle w:val="0"/>
            </w:pPr>
            <w:r>
              <w:rPr>
                <w:sz w:val="20"/>
              </w:rPr>
              <w:t xml:space="preserve">Налоговая декларация по единому налогу на вмененный доход для отдельных видов деятельности по форме КНД 1152016</w:t>
            </w:r>
          </w:p>
        </w:tc>
        <w:tc>
          <w:tcPr>
            <w:gridSpan w:val="2"/>
            <w:tcW w:w="4082" w:type="dxa"/>
          </w:tcPr>
          <w:p>
            <w:pPr>
              <w:pStyle w:val="0"/>
            </w:pPr>
            <w:r>
              <w:rPr>
                <w:sz w:val="20"/>
              </w:rPr>
            </w:r>
          </w:p>
        </w:tc>
      </w:tr>
      <w:tr>
        <w:tc>
          <w:tcPr>
            <w:vMerge w:val="continue"/>
          </w:tcPr>
          <w:p/>
        </w:tc>
        <w:tc>
          <w:tcPr>
            <w:tcW w:w="4139" w:type="dxa"/>
          </w:tcPr>
          <w:p>
            <w:pPr>
              <w:pStyle w:val="0"/>
            </w:pPr>
            <w:r>
              <w:rPr>
                <w:sz w:val="20"/>
              </w:rPr>
              <w:t xml:space="preserve">Налоговая декларация по налогу на доходы физических лиц (форма 3-НДФЛ) КНД 1151020</w:t>
            </w:r>
          </w:p>
        </w:tc>
        <w:tc>
          <w:tcPr>
            <w:gridSpan w:val="2"/>
            <w:tcW w:w="4082" w:type="dxa"/>
          </w:tcPr>
          <w:p>
            <w:pPr>
              <w:pStyle w:val="0"/>
            </w:pPr>
            <w:r>
              <w:rPr>
                <w:sz w:val="20"/>
              </w:rPr>
            </w:r>
          </w:p>
        </w:tc>
      </w:tr>
      <w:tr>
        <w:tc>
          <w:tcPr>
            <w:vMerge w:val="continue"/>
          </w:tcPr>
          <w:p/>
        </w:tc>
        <w:tc>
          <w:tcPr>
            <w:tcW w:w="4139" w:type="dxa"/>
          </w:tcPr>
          <w:p>
            <w:pPr>
              <w:pStyle w:val="0"/>
            </w:pPr>
            <w:r>
              <w:rPr>
                <w:sz w:val="20"/>
              </w:rPr>
              <w:t xml:space="preserve">Налоговая декларация по налогу на прибыль организаций по форме КНД 1151006</w:t>
            </w:r>
          </w:p>
        </w:tc>
        <w:tc>
          <w:tcPr>
            <w:gridSpan w:val="2"/>
            <w:tcW w:w="4082" w:type="dxa"/>
          </w:tcPr>
          <w:p>
            <w:pPr>
              <w:pStyle w:val="0"/>
            </w:pPr>
            <w:r>
              <w:rPr>
                <w:sz w:val="20"/>
              </w:rPr>
            </w:r>
          </w:p>
        </w:tc>
      </w:tr>
      <w:tr>
        <w:tc>
          <w:tcPr>
            <w:vMerge w:val="continue"/>
          </w:tcPr>
          <w:p/>
        </w:tc>
        <w:tc>
          <w:tcPr>
            <w:tcW w:w="4139" w:type="dxa"/>
          </w:tcPr>
          <w:p>
            <w:pPr>
              <w:pStyle w:val="0"/>
            </w:pPr>
            <w:r>
              <w:rPr>
                <w:sz w:val="20"/>
              </w:rPr>
              <w:t xml:space="preserve">Налоговая декларация по налогу на имущество организаций по форме КНД 1152026</w:t>
            </w:r>
          </w:p>
        </w:tc>
        <w:tc>
          <w:tcPr>
            <w:gridSpan w:val="2"/>
            <w:tcW w:w="4082" w:type="dxa"/>
          </w:tcPr>
          <w:p>
            <w:pPr>
              <w:pStyle w:val="0"/>
            </w:pPr>
            <w:r>
              <w:rPr>
                <w:sz w:val="20"/>
              </w:rPr>
            </w:r>
          </w:p>
        </w:tc>
      </w:tr>
      <w:tr>
        <w:tc>
          <w:tcPr>
            <w:vMerge w:val="continue"/>
          </w:tcPr>
          <w:p/>
        </w:tc>
        <w:tc>
          <w:tcPr>
            <w:tcW w:w="4139" w:type="dxa"/>
          </w:tcPr>
          <w:p>
            <w:pPr>
              <w:pStyle w:val="0"/>
            </w:pPr>
            <w:r>
              <w:rPr>
                <w:sz w:val="20"/>
              </w:rPr>
              <w:t xml:space="preserve">Налоговая декларация по транспортному налогу по форме КНД 1152004</w:t>
            </w:r>
          </w:p>
        </w:tc>
        <w:tc>
          <w:tcPr>
            <w:gridSpan w:val="2"/>
            <w:tcW w:w="4082" w:type="dxa"/>
          </w:tcPr>
          <w:p>
            <w:pPr>
              <w:pStyle w:val="0"/>
            </w:pPr>
            <w:r>
              <w:rPr>
                <w:sz w:val="20"/>
              </w:rPr>
            </w:r>
          </w:p>
        </w:tc>
      </w:tr>
      <w:tr>
        <w:tc>
          <w:tcPr>
            <w:vMerge w:val="continue"/>
          </w:tcPr>
          <w:p/>
        </w:tc>
        <w:tc>
          <w:tcPr>
            <w:tcW w:w="4139" w:type="dxa"/>
          </w:tcPr>
          <w:p>
            <w:pPr>
              <w:pStyle w:val="0"/>
            </w:pPr>
            <w:r>
              <w:rPr>
                <w:sz w:val="20"/>
              </w:rPr>
              <w:t xml:space="preserve">Налоговая декларация по земельному налогу по форме КНД 1153005</w:t>
            </w:r>
          </w:p>
        </w:tc>
        <w:tc>
          <w:tcPr>
            <w:gridSpan w:val="2"/>
            <w:tcW w:w="4082" w:type="dxa"/>
          </w:tcPr>
          <w:p>
            <w:pPr>
              <w:pStyle w:val="0"/>
            </w:pPr>
            <w:r>
              <w:rPr>
                <w:sz w:val="20"/>
              </w:rPr>
            </w:r>
          </w:p>
        </w:tc>
      </w:tr>
      <w:tr>
        <w:tc>
          <w:tcPr>
            <w:vMerge w:val="continue"/>
          </w:tcPr>
          <w:p/>
        </w:tc>
        <w:tc>
          <w:tcPr>
            <w:tcW w:w="4139" w:type="dxa"/>
          </w:tcPr>
          <w:p>
            <w:pPr>
              <w:pStyle w:val="0"/>
            </w:pPr>
            <w:r>
              <w:rPr>
                <w:sz w:val="20"/>
              </w:rPr>
              <w:t xml:space="preserve">Платежный документ об уплате налога, взимаемого в связи с применением патентной системы налогообложения</w:t>
            </w:r>
          </w:p>
        </w:tc>
        <w:tc>
          <w:tcPr>
            <w:gridSpan w:val="2"/>
            <w:tcW w:w="4082" w:type="dxa"/>
          </w:tcPr>
          <w:p>
            <w:pPr>
              <w:pStyle w:val="0"/>
            </w:pPr>
            <w:r>
              <w:rPr>
                <w:sz w:val="20"/>
              </w:rPr>
            </w:r>
          </w:p>
        </w:tc>
      </w:tr>
      <w:tr>
        <w:tc>
          <w:tcPr>
            <w:vMerge w:val="continue"/>
          </w:tcPr>
          <w:p/>
        </w:tc>
        <w:tc>
          <w:tcPr>
            <w:tcW w:w="4139" w:type="dxa"/>
          </w:tcPr>
          <w:p>
            <w:pPr>
              <w:pStyle w:val="0"/>
            </w:pPr>
            <w:r>
              <w:rPr>
                <w:sz w:val="20"/>
              </w:rPr>
              <w:t xml:space="preserve">Заявление на получение патента (форма N 26.5-1) (КНД 1150010)</w:t>
            </w:r>
          </w:p>
        </w:tc>
        <w:tc>
          <w:tcPr>
            <w:gridSpan w:val="2"/>
            <w:tcW w:w="4082" w:type="dxa"/>
          </w:tcPr>
          <w:p>
            <w:pPr>
              <w:pStyle w:val="0"/>
            </w:pPr>
            <w:r>
              <w:rPr>
                <w:sz w:val="20"/>
              </w:rPr>
            </w:r>
          </w:p>
        </w:tc>
      </w:tr>
      <w:tr>
        <w:tc>
          <w:tcPr>
            <w:vMerge w:val="continue"/>
          </w:tcPr>
          <w:p/>
        </w:tc>
        <w:tc>
          <w:tcPr>
            <w:tcW w:w="4139" w:type="dxa"/>
          </w:tcPr>
          <w:p>
            <w:pPr>
              <w:pStyle w:val="0"/>
            </w:pPr>
            <w:r>
              <w:rPr>
                <w:sz w:val="20"/>
              </w:rPr>
              <w:t xml:space="preserve">Сведения о доходах физических лиц и суммах начисленного и удержанного налога за предыдущий налоговый период, представляемые налоговыми агентами</w:t>
            </w:r>
          </w:p>
        </w:tc>
        <w:tc>
          <w:tcPr>
            <w:gridSpan w:val="2"/>
            <w:tcW w:w="4082" w:type="dxa"/>
          </w:tcPr>
          <w:p>
            <w:pPr>
              <w:pStyle w:val="0"/>
            </w:pPr>
            <w:r>
              <w:rPr>
                <w:sz w:val="20"/>
              </w:rPr>
            </w:r>
          </w:p>
        </w:tc>
      </w:tr>
      <w:tr>
        <w:tc>
          <w:tcPr>
            <w:vMerge w:val="continue"/>
          </w:tcPr>
          <w:p/>
        </w:tc>
        <w:tc>
          <w:tcPr>
            <w:tcW w:w="4139" w:type="dxa"/>
          </w:tcPr>
          <w:p>
            <w:pPr>
              <w:pStyle w:val="0"/>
            </w:pPr>
            <w:r>
              <w:rPr>
                <w:sz w:val="20"/>
              </w:rPr>
              <w:t xml:space="preserve">Иные (перечислить)</w:t>
            </w:r>
          </w:p>
        </w:tc>
        <w:tc>
          <w:tcPr>
            <w:gridSpan w:val="2"/>
            <w:tcW w:w="4082" w:type="dxa"/>
          </w:tcPr>
          <w:p>
            <w:pPr>
              <w:pStyle w:val="0"/>
            </w:pPr>
            <w:r>
              <w:rPr>
                <w:sz w:val="20"/>
              </w:rPr>
            </w:r>
          </w:p>
        </w:tc>
      </w:tr>
    </w:tbl>
    <w:p>
      <w:pPr>
        <w:pStyle w:val="0"/>
        <w:jc w:val="both"/>
      </w:pPr>
      <w:r>
        <w:rPr>
          <w:sz w:val="20"/>
        </w:rPr>
      </w:r>
    </w:p>
    <w:p>
      <w:pPr>
        <w:pStyle w:val="0"/>
        <w:ind w:firstLine="540"/>
        <w:jc w:val="both"/>
      </w:pPr>
      <w:r>
        <w:rPr>
          <w:sz w:val="20"/>
        </w:rPr>
        <w:t xml:space="preserve">--------------------------------</w:t>
      </w:r>
    </w:p>
    <w:bookmarkStart w:id="941" w:name="P941"/>
    <w:bookmarkEnd w:id="941"/>
    <w:p>
      <w:pPr>
        <w:pStyle w:val="0"/>
        <w:spacing w:before="200" w:line-rule="auto"/>
        <w:ind w:firstLine="540"/>
        <w:jc w:val="both"/>
      </w:pPr>
      <w:r>
        <w:rPr>
          <w:sz w:val="20"/>
        </w:rPr>
        <w:t xml:space="preserve">&lt;1&gt; К паспорту Проекта прилагаются копии документов, указанных в </w:t>
      </w:r>
      <w:hyperlink w:history="0" w:anchor="P898" w:tooltip="4.2">
        <w:r>
          <w:rPr>
            <w:sz w:val="20"/>
            <w:color w:val="0000ff"/>
          </w:rPr>
          <w:t xml:space="preserve">строках 4.2</w:t>
        </w:r>
      </w:hyperlink>
      <w:r>
        <w:rPr>
          <w:sz w:val="20"/>
        </w:rPr>
        <w:t xml:space="preserve">, </w:t>
      </w:r>
      <w:hyperlink w:history="0" w:anchor="P909" w:tooltip="4.3">
        <w:r>
          <w:rPr>
            <w:sz w:val="20"/>
            <w:color w:val="0000ff"/>
          </w:rPr>
          <w:t xml:space="preserve">4.3</w:t>
        </w:r>
      </w:hyperlink>
      <w:r>
        <w:rPr>
          <w:sz w:val="20"/>
        </w:rPr>
        <w:t xml:space="preserve"> паспорта Проекта. При заполнении паспорта Проекта наличие пустых ячеек не допускается. В случае отсутствия данных по строкам указывать "нет данных".</w:t>
      </w:r>
    </w:p>
    <w:bookmarkStart w:id="942" w:name="P942"/>
    <w:bookmarkEnd w:id="942"/>
    <w:p>
      <w:pPr>
        <w:pStyle w:val="0"/>
        <w:spacing w:before="200" w:line-rule="auto"/>
        <w:ind w:firstLine="540"/>
        <w:jc w:val="both"/>
      </w:pPr>
      <w:r>
        <w:rPr>
          <w:sz w:val="20"/>
        </w:rPr>
        <w:t xml:space="preserve">&lt;2&gt; Источник информации: документы, указанные в </w:t>
      </w:r>
      <w:hyperlink w:history="0" w:anchor="P898" w:tooltip="4.2">
        <w:r>
          <w:rPr>
            <w:sz w:val="20"/>
            <w:color w:val="0000ff"/>
          </w:rPr>
          <w:t xml:space="preserve">строке 4.2</w:t>
        </w:r>
      </w:hyperlink>
      <w:r>
        <w:rPr>
          <w:sz w:val="20"/>
        </w:rPr>
        <w:t xml:space="preserve"> паспорта Проекта. Копии указанных документов прилагаются к паспорту Проекта.</w:t>
      </w:r>
    </w:p>
    <w:bookmarkStart w:id="943" w:name="P943"/>
    <w:bookmarkEnd w:id="943"/>
    <w:p>
      <w:pPr>
        <w:pStyle w:val="0"/>
        <w:spacing w:before="200" w:line-rule="auto"/>
        <w:ind w:firstLine="540"/>
        <w:jc w:val="both"/>
      </w:pPr>
      <w:r>
        <w:rPr>
          <w:sz w:val="20"/>
        </w:rPr>
        <w:t xml:space="preserve">&lt;3&gt; Источник информации: документы, указанные в </w:t>
      </w:r>
      <w:hyperlink w:history="0" w:anchor="P909" w:tooltip="4.3">
        <w:r>
          <w:rPr>
            <w:sz w:val="20"/>
            <w:color w:val="0000ff"/>
          </w:rPr>
          <w:t xml:space="preserve">строке 4.3</w:t>
        </w:r>
      </w:hyperlink>
      <w:r>
        <w:rPr>
          <w:sz w:val="20"/>
        </w:rPr>
        <w:t xml:space="preserve"> паспорта Проекта. Копии указанных документов прилагаются к паспорту Проекта.</w:t>
      </w:r>
    </w:p>
    <w:bookmarkStart w:id="944" w:name="P944"/>
    <w:bookmarkEnd w:id="944"/>
    <w:p>
      <w:pPr>
        <w:pStyle w:val="0"/>
        <w:spacing w:before="200" w:line-rule="auto"/>
        <w:ind w:firstLine="540"/>
        <w:jc w:val="both"/>
      </w:pPr>
      <w:r>
        <w:rPr>
          <w:sz w:val="20"/>
        </w:rPr>
        <w:t xml:space="preserve">&lt;4&gt; Источник информации: документы, указанные в </w:t>
      </w:r>
      <w:hyperlink w:history="0" w:anchor="P909" w:tooltip="4.3">
        <w:r>
          <w:rPr>
            <w:sz w:val="20"/>
            <w:color w:val="0000ff"/>
          </w:rPr>
          <w:t xml:space="preserve">строках 4.3</w:t>
        </w:r>
      </w:hyperlink>
      <w:r>
        <w:rPr>
          <w:sz w:val="20"/>
        </w:rPr>
        <w:t xml:space="preserve">, </w:t>
      </w:r>
      <w:hyperlink w:history="0" w:anchor="P914" w:tooltip="4.4">
        <w:r>
          <w:rPr>
            <w:sz w:val="20"/>
            <w:color w:val="0000ff"/>
          </w:rPr>
          <w:t xml:space="preserve">4.4</w:t>
        </w:r>
      </w:hyperlink>
      <w:r>
        <w:rPr>
          <w:sz w:val="20"/>
        </w:rPr>
        <w:t xml:space="preserve"> паспорта Проекта.</w:t>
      </w:r>
    </w:p>
    <w:bookmarkStart w:id="945" w:name="P945"/>
    <w:bookmarkEnd w:id="945"/>
    <w:p>
      <w:pPr>
        <w:pStyle w:val="0"/>
        <w:spacing w:before="200" w:line-rule="auto"/>
        <w:ind w:firstLine="540"/>
        <w:jc w:val="both"/>
      </w:pPr>
      <w:r>
        <w:rPr>
          <w:sz w:val="20"/>
        </w:rPr>
        <w:t xml:space="preserve">&lt;5&gt; В соответствии с </w:t>
      </w:r>
      <w:hyperlink w:history="0" w:anchor="P69" w:tooltip="1.3.8. приоритетная целевая группа субъектов малого и среднего предпринимательства - группа субъектов МСП, в которую входят:">
        <w:r>
          <w:rPr>
            <w:sz w:val="20"/>
            <w:color w:val="0000ff"/>
          </w:rPr>
          <w:t xml:space="preserve">пунктом 1.3.8</w:t>
        </w:r>
      </w:hyperlink>
      <w:r>
        <w:rPr>
          <w:sz w:val="20"/>
        </w:rPr>
        <w:t xml:space="preserve"> Порядка (указать).</w:t>
      </w:r>
    </w:p>
    <w:bookmarkStart w:id="946" w:name="P946"/>
    <w:bookmarkEnd w:id="946"/>
    <w:p>
      <w:pPr>
        <w:pStyle w:val="0"/>
        <w:spacing w:before="200" w:line-rule="auto"/>
        <w:ind w:firstLine="540"/>
        <w:jc w:val="both"/>
      </w:pPr>
      <w:r>
        <w:rPr>
          <w:sz w:val="20"/>
        </w:rPr>
        <w:t xml:space="preserve">&lt;6&gt; Цель Проекта - желаемый результат деятельности, достижимый за намеченный (заданный) интервал времени и характеризующийся набором количественных данных или параметров этого результата.</w:t>
      </w:r>
    </w:p>
    <w:bookmarkStart w:id="947" w:name="P947"/>
    <w:bookmarkEnd w:id="947"/>
    <w:p>
      <w:pPr>
        <w:pStyle w:val="0"/>
        <w:spacing w:before="200" w:line-rule="auto"/>
        <w:ind w:firstLine="540"/>
        <w:jc w:val="both"/>
      </w:pPr>
      <w:r>
        <w:rPr>
          <w:sz w:val="20"/>
        </w:rPr>
        <w:t xml:space="preserve">&lt;7&gt; Рассчитывается как разница (прирост) значений прибыли до налогообложения на дату окончания реализации Проекта и на дату начала реализации Проекта.</w:t>
      </w:r>
    </w:p>
    <w:bookmarkStart w:id="948" w:name="P948"/>
    <w:bookmarkEnd w:id="948"/>
    <w:p>
      <w:pPr>
        <w:pStyle w:val="0"/>
        <w:spacing w:before="200" w:line-rule="auto"/>
        <w:ind w:firstLine="540"/>
        <w:jc w:val="both"/>
      </w:pPr>
      <w:r>
        <w:rPr>
          <w:sz w:val="20"/>
        </w:rPr>
        <w:t xml:space="preserve">&lt;8&gt; Рассчитывается в случае, если целью Проекта является снижение затрат, как разница (снижение) значений фактического объема затрат на приобретение сырья, материалов, ресурсов на дату начала реализации Проекта и планового номинального объема затрат на приобретение сырья, материалов, ресурсов на дату его окончания, переведенная в денежную оценку.</w:t>
      </w:r>
    </w:p>
    <w:bookmarkStart w:id="949" w:name="P949"/>
    <w:bookmarkEnd w:id="949"/>
    <w:p>
      <w:pPr>
        <w:pStyle w:val="0"/>
        <w:spacing w:before="200" w:line-rule="auto"/>
        <w:ind w:firstLine="540"/>
        <w:jc w:val="both"/>
      </w:pPr>
      <w:r>
        <w:rPr>
          <w:sz w:val="20"/>
        </w:rPr>
        <w:t xml:space="preserve">&lt;9&gt; Рассчитывается как отношение общей стоимости Проекта к планируемой чистой прибыли от реализации Проекта.</w:t>
      </w:r>
    </w:p>
    <w:p>
      <w:pPr>
        <w:pStyle w:val="0"/>
        <w:jc w:val="both"/>
      </w:pPr>
      <w:r>
        <w:rPr>
          <w:sz w:val="20"/>
        </w:rPr>
      </w:r>
    </w:p>
    <w:p>
      <w:pPr>
        <w:pStyle w:val="0"/>
        <w:ind w:firstLine="540"/>
        <w:jc w:val="both"/>
      </w:pPr>
      <w:r>
        <w:rPr>
          <w:sz w:val="20"/>
        </w:rPr>
        <w:t xml:space="preserve">Достоверность предоставленной информации гарантирую.</w:t>
      </w:r>
    </w:p>
    <w:p>
      <w:pPr>
        <w:pStyle w:val="0"/>
        <w:jc w:val="both"/>
      </w:pPr>
      <w:r>
        <w:rPr>
          <w:sz w:val="20"/>
        </w:rPr>
      </w:r>
    </w:p>
    <w:tbl>
      <w:tblPr>
        <w:tblInd w:w="0" w:type="dxa"/>
        <w:tblLayout w:type="fixed"/>
        <w:tblCellMar>
          <w:top w:w="102" w:type="dxa"/>
          <w:left w:w="62" w:type="dxa"/>
          <w:bottom w:w="102" w:type="dxa"/>
          <w:right w:w="62" w:type="dxa"/>
        </w:tblCellMar>
      </w:tblPr>
      <w:tblGrid>
        <w:gridCol w:w="3028"/>
        <w:gridCol w:w="3373"/>
        <w:gridCol w:w="2670"/>
      </w:tblGrid>
      <w:tr>
        <w:tc>
          <w:tcPr>
            <w:gridSpan w:val="3"/>
            <w:tcW w:w="9071" w:type="dxa"/>
            <w:tcBorders>
              <w:top w:val="nil"/>
              <w:left w:val="nil"/>
              <w:bottom w:val="nil"/>
              <w:right w:val="nil"/>
            </w:tcBorders>
          </w:tcPr>
          <w:p>
            <w:pPr>
              <w:pStyle w:val="0"/>
              <w:jc w:val="both"/>
            </w:pPr>
            <w:r>
              <w:rPr>
                <w:sz w:val="20"/>
              </w:rPr>
              <w:t xml:space="preserve">Руководитель (индивидуальный предприниматель)</w:t>
            </w:r>
          </w:p>
        </w:tc>
      </w:tr>
      <w:tr>
        <w:tc>
          <w:tcPr>
            <w:tcW w:w="3028" w:type="dxa"/>
            <w:tcBorders>
              <w:top w:val="nil"/>
              <w:left w:val="nil"/>
              <w:bottom w:val="nil"/>
              <w:right w:val="nil"/>
            </w:tcBorders>
          </w:tcPr>
          <w:p>
            <w:pPr>
              <w:pStyle w:val="0"/>
              <w:jc w:val="both"/>
            </w:pPr>
            <w:r>
              <w:rPr>
                <w:sz w:val="20"/>
              </w:rPr>
              <w:t xml:space="preserve">_______________________</w:t>
            </w:r>
          </w:p>
          <w:p>
            <w:pPr>
              <w:pStyle w:val="0"/>
              <w:ind w:firstLine="540" w:left="283"/>
              <w:jc w:val="both"/>
            </w:pPr>
            <w:r>
              <w:rPr>
                <w:sz w:val="20"/>
              </w:rPr>
              <w:t xml:space="preserve">(подпись)</w:t>
            </w:r>
          </w:p>
        </w:tc>
        <w:tc>
          <w:tcPr>
            <w:tcW w:w="3373" w:type="dxa"/>
            <w:tcBorders>
              <w:top w:val="nil"/>
              <w:left w:val="nil"/>
              <w:bottom w:val="nil"/>
              <w:right w:val="nil"/>
            </w:tcBorders>
          </w:tcPr>
          <w:p>
            <w:pPr>
              <w:pStyle w:val="0"/>
              <w:jc w:val="both"/>
            </w:pPr>
            <w:r>
              <w:rPr>
                <w:sz w:val="20"/>
              </w:rPr>
              <w:t xml:space="preserve">/_______________________/</w:t>
            </w:r>
          </w:p>
          <w:p>
            <w:pPr>
              <w:pStyle w:val="0"/>
              <w:ind w:firstLine="540" w:left="566"/>
              <w:jc w:val="both"/>
            </w:pPr>
            <w:r>
              <w:rPr>
                <w:sz w:val="20"/>
              </w:rPr>
              <w:t xml:space="preserve">(ФИО)</w:t>
            </w:r>
          </w:p>
        </w:tc>
        <w:tc>
          <w:tcPr>
            <w:tcW w:w="2670" w:type="dxa"/>
            <w:tcBorders>
              <w:top w:val="nil"/>
              <w:left w:val="nil"/>
              <w:bottom w:val="nil"/>
              <w:right w:val="nil"/>
            </w:tcBorders>
          </w:tcPr>
          <w:p>
            <w:pPr>
              <w:pStyle w:val="0"/>
            </w:pPr>
            <w:r>
              <w:rPr>
                <w:sz w:val="20"/>
              </w:rPr>
            </w:r>
          </w:p>
        </w:tc>
      </w:tr>
      <w:tr>
        <w:tc>
          <w:tcPr>
            <w:gridSpan w:val="3"/>
            <w:tcW w:w="9071" w:type="dxa"/>
            <w:tcBorders>
              <w:top w:val="nil"/>
              <w:left w:val="nil"/>
              <w:bottom w:val="nil"/>
              <w:right w:val="nil"/>
            </w:tcBorders>
          </w:tcPr>
          <w:p>
            <w:pPr>
              <w:pStyle w:val="0"/>
              <w:jc w:val="both"/>
            </w:pPr>
            <w:r>
              <w:rPr>
                <w:sz w:val="20"/>
              </w:rPr>
              <w:t xml:space="preserve">МП (при наличии)</w:t>
            </w:r>
          </w:p>
          <w:p>
            <w:pPr>
              <w:pStyle w:val="0"/>
            </w:pPr>
            <w:r>
              <w:rPr>
                <w:sz w:val="20"/>
              </w:rPr>
            </w:r>
          </w:p>
          <w:p>
            <w:pPr>
              <w:pStyle w:val="0"/>
              <w:jc w:val="both"/>
            </w:pPr>
            <w:r>
              <w:rPr>
                <w:sz w:val="20"/>
              </w:rPr>
              <w:t xml:space="preserve">"____" ______________ 20___ г.</w:t>
            </w:r>
          </w:p>
        </w:tc>
      </w:tr>
      <w:tr>
        <w:tc>
          <w:tcPr>
            <w:gridSpan w:val="3"/>
            <w:tcW w:w="9071" w:type="dxa"/>
            <w:tcBorders>
              <w:top w:val="nil"/>
              <w:left w:val="nil"/>
              <w:bottom w:val="nil"/>
              <w:right w:val="nil"/>
            </w:tcBorders>
          </w:tcPr>
          <w:p>
            <w:pPr>
              <w:pStyle w:val="0"/>
              <w:ind w:firstLine="283"/>
              <w:jc w:val="both"/>
            </w:pPr>
            <w:r>
              <w:rPr>
                <w:sz w:val="20"/>
              </w:rPr>
              <w:t xml:space="preserve">Информация, содержащаяся в строках _____________________ паспорта бизнес-проекта (инвестиционного проекта) субъекта малого и среднего предпринимательства, мною проверена на соответствие представленным документам, расхождений не выявлено.</w:t>
            </w:r>
          </w:p>
        </w:tc>
      </w:tr>
      <w:tr>
        <w:tc>
          <w:tcPr>
            <w:gridSpan w:val="3"/>
            <w:tcW w:w="9071" w:type="dxa"/>
            <w:tcBorders>
              <w:top w:val="nil"/>
              <w:left w:val="nil"/>
              <w:bottom w:val="nil"/>
              <w:right w:val="nil"/>
            </w:tcBorders>
          </w:tcPr>
          <w:p>
            <w:pPr>
              <w:pStyle w:val="0"/>
              <w:jc w:val="both"/>
            </w:pPr>
            <w:r>
              <w:rPr>
                <w:sz w:val="20"/>
              </w:rPr>
              <w:t xml:space="preserve">Исполнитель</w:t>
            </w:r>
          </w:p>
          <w:p>
            <w:pPr>
              <w:pStyle w:val="0"/>
              <w:jc w:val="both"/>
            </w:pPr>
            <w:r>
              <w:rPr>
                <w:sz w:val="20"/>
              </w:rPr>
              <w:t xml:space="preserve">(ответственное лицо Агентства</w:t>
            </w:r>
          </w:p>
          <w:p>
            <w:pPr>
              <w:pStyle w:val="0"/>
              <w:jc w:val="both"/>
            </w:pPr>
            <w:r>
              <w:rPr>
                <w:sz w:val="20"/>
              </w:rPr>
              <w:t xml:space="preserve">по развитию малого и среднего</w:t>
            </w:r>
          </w:p>
          <w:p>
            <w:pPr>
              <w:pStyle w:val="0"/>
              <w:jc w:val="both"/>
            </w:pPr>
            <w:r>
              <w:rPr>
                <w:sz w:val="20"/>
              </w:rPr>
              <w:t xml:space="preserve">предпринимательства Пермского края)</w:t>
            </w:r>
          </w:p>
        </w:tc>
      </w:tr>
      <w:tr>
        <w:tc>
          <w:tcPr>
            <w:tcW w:w="3028" w:type="dxa"/>
            <w:tcBorders>
              <w:top w:val="nil"/>
              <w:left w:val="nil"/>
              <w:bottom w:val="nil"/>
              <w:right w:val="nil"/>
            </w:tcBorders>
          </w:tcPr>
          <w:p>
            <w:pPr>
              <w:pStyle w:val="0"/>
              <w:jc w:val="both"/>
            </w:pPr>
            <w:r>
              <w:rPr>
                <w:sz w:val="20"/>
              </w:rPr>
              <w:t xml:space="preserve">_______________________</w:t>
            </w:r>
          </w:p>
          <w:p>
            <w:pPr>
              <w:pStyle w:val="0"/>
              <w:ind w:firstLine="540" w:left="283"/>
              <w:jc w:val="both"/>
            </w:pPr>
            <w:r>
              <w:rPr>
                <w:sz w:val="20"/>
              </w:rPr>
              <w:t xml:space="preserve">(подпись)</w:t>
            </w:r>
          </w:p>
        </w:tc>
        <w:tc>
          <w:tcPr>
            <w:tcW w:w="3373" w:type="dxa"/>
            <w:tcBorders>
              <w:top w:val="nil"/>
              <w:left w:val="nil"/>
              <w:bottom w:val="nil"/>
              <w:right w:val="nil"/>
            </w:tcBorders>
          </w:tcPr>
          <w:p>
            <w:pPr>
              <w:pStyle w:val="0"/>
              <w:jc w:val="both"/>
            </w:pPr>
            <w:r>
              <w:rPr>
                <w:sz w:val="20"/>
              </w:rPr>
              <w:t xml:space="preserve">/_______________________/</w:t>
            </w:r>
          </w:p>
          <w:p>
            <w:pPr>
              <w:pStyle w:val="0"/>
              <w:ind w:firstLine="540" w:left="566"/>
              <w:jc w:val="both"/>
            </w:pPr>
            <w:r>
              <w:rPr>
                <w:sz w:val="20"/>
              </w:rPr>
              <w:t xml:space="preserve">(ФИО)</w:t>
            </w:r>
          </w:p>
        </w:tc>
        <w:tc>
          <w:tcPr>
            <w:tcW w:w="2670" w:type="dxa"/>
            <w:tcBorders>
              <w:top w:val="nil"/>
              <w:left w:val="nil"/>
              <w:bottom w:val="nil"/>
              <w:right w:val="nil"/>
            </w:tcBorders>
          </w:tcPr>
          <w:p>
            <w:pPr>
              <w:pStyle w:val="0"/>
            </w:pPr>
            <w:r>
              <w:rPr>
                <w:sz w:val="20"/>
              </w:rPr>
            </w:r>
          </w:p>
        </w:tc>
      </w:tr>
      <w:tr>
        <w:tc>
          <w:tcPr>
            <w:gridSpan w:val="3"/>
            <w:tcW w:w="9071" w:type="dxa"/>
            <w:tcBorders>
              <w:top w:val="nil"/>
              <w:left w:val="nil"/>
              <w:bottom w:val="nil"/>
              <w:right w:val="nil"/>
            </w:tcBorders>
          </w:tcPr>
          <w:p>
            <w:pPr>
              <w:pStyle w:val="0"/>
              <w:jc w:val="both"/>
            </w:pPr>
            <w:r>
              <w:rPr>
                <w:sz w:val="20"/>
              </w:rPr>
              <w:t xml:space="preserve">"____" _____________ 20___ г.</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right"/>
      </w:pPr>
      <w:r>
        <w:rPr>
          <w:sz w:val="20"/>
        </w:rPr>
        <w:t xml:space="preserve">к Порядку</w:t>
      </w:r>
    </w:p>
    <w:p>
      <w:pPr>
        <w:pStyle w:val="0"/>
        <w:jc w:val="right"/>
      </w:pPr>
      <w:r>
        <w:rPr>
          <w:sz w:val="20"/>
        </w:rPr>
        <w:t xml:space="preserve">предоставления субсидий из бюджета</w:t>
      </w:r>
    </w:p>
    <w:p>
      <w:pPr>
        <w:pStyle w:val="0"/>
        <w:jc w:val="right"/>
      </w:pPr>
      <w:r>
        <w:rPr>
          <w:sz w:val="20"/>
        </w:rPr>
        <w:t xml:space="preserve">Пермского края субъектам малого</w:t>
      </w:r>
    </w:p>
    <w:p>
      <w:pPr>
        <w:pStyle w:val="0"/>
        <w:jc w:val="right"/>
      </w:pPr>
      <w:r>
        <w:rPr>
          <w:sz w:val="20"/>
        </w:rPr>
        <w:t xml:space="preserve">и среднего предпринимательства</w:t>
      </w:r>
    </w:p>
    <w:p>
      <w:pPr>
        <w:pStyle w:val="0"/>
        <w:jc w:val="right"/>
      </w:pPr>
      <w:r>
        <w:rPr>
          <w:sz w:val="20"/>
        </w:rPr>
        <w:t xml:space="preserve">в целях возмещения части затрат,</w:t>
      </w:r>
    </w:p>
    <w:p>
      <w:pPr>
        <w:pStyle w:val="0"/>
        <w:jc w:val="right"/>
      </w:pPr>
      <w:r>
        <w:rPr>
          <w:sz w:val="20"/>
        </w:rPr>
        <w:t xml:space="preserve">связанных с осуществлением ими</w:t>
      </w:r>
    </w:p>
    <w:p>
      <w:pPr>
        <w:pStyle w:val="0"/>
        <w:jc w:val="right"/>
      </w:pPr>
      <w:r>
        <w:rPr>
          <w:sz w:val="20"/>
        </w:rPr>
        <w:t xml:space="preserve">предпринимательской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Пермского края от 24.12.2019 </w:t>
            </w:r>
            <w:hyperlink w:history="0" r:id="rId275" w:tooltip="Постановление Правительства Пермского края от 24.12.2019 N 980-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980-п</w:t>
              </w:r>
            </w:hyperlink>
            <w:r>
              <w:rPr>
                <w:sz w:val="20"/>
                <w:color w:val="392c69"/>
              </w:rPr>
              <w:t xml:space="preserve">,</w:t>
            </w:r>
          </w:p>
          <w:p>
            <w:pPr>
              <w:pStyle w:val="0"/>
              <w:jc w:val="center"/>
            </w:pPr>
            <w:r>
              <w:rPr>
                <w:sz w:val="20"/>
                <w:color w:val="392c69"/>
              </w:rPr>
              <w:t xml:space="preserve">от 20.10.2021 </w:t>
            </w:r>
            <w:hyperlink w:history="0" r:id="rId276" w:tooltip="Постановление Правительства Пермского края от 20.10.2021 N 79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N 793-п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992" w:name="P992"/>
    <w:bookmarkEnd w:id="992"/>
    <w:p>
      <w:pPr>
        <w:pStyle w:val="0"/>
        <w:jc w:val="center"/>
      </w:pPr>
      <w:r>
        <w:rPr>
          <w:sz w:val="20"/>
        </w:rPr>
        <w:t xml:space="preserve">РАСЧЕТ</w:t>
      </w:r>
    </w:p>
    <w:p>
      <w:pPr>
        <w:pStyle w:val="0"/>
        <w:jc w:val="center"/>
      </w:pPr>
      <w:r>
        <w:rPr>
          <w:sz w:val="20"/>
        </w:rPr>
        <w:t xml:space="preserve">размера субсидии на возмещение части затрат, связанных</w:t>
      </w:r>
    </w:p>
    <w:p>
      <w:pPr>
        <w:pStyle w:val="0"/>
        <w:jc w:val="center"/>
      </w:pPr>
      <w:r>
        <w:rPr>
          <w:sz w:val="20"/>
        </w:rPr>
        <w:t xml:space="preserve">с уплатой субъектом малого и среднего предпринимательства</w:t>
      </w:r>
    </w:p>
    <w:p>
      <w:pPr>
        <w:pStyle w:val="0"/>
        <w:jc w:val="center"/>
      </w:pPr>
      <w:r>
        <w:rPr>
          <w:sz w:val="20"/>
        </w:rPr>
        <w:t xml:space="preserve">первого взноса (аванса) при заключении договора лизинга</w:t>
      </w:r>
    </w:p>
    <w:p>
      <w:pPr>
        <w:pStyle w:val="0"/>
        <w:jc w:val="center"/>
      </w:pPr>
      <w:r>
        <w:rPr>
          <w:sz w:val="20"/>
        </w:rPr>
        <w:t xml:space="preserve">оборудования</w:t>
      </w:r>
    </w:p>
    <w:p>
      <w:pPr>
        <w:pStyle w:val="0"/>
        <w:jc w:val="both"/>
      </w:pPr>
      <w:r>
        <w:rPr>
          <w:sz w:val="20"/>
        </w:rPr>
      </w:r>
    </w:p>
    <w:p>
      <w:pPr>
        <w:pStyle w:val="1"/>
        <w:jc w:val="both"/>
      </w:pPr>
      <w:r>
        <w:rPr>
          <w:sz w:val="20"/>
        </w:rPr>
        <w:t xml:space="preserve">    1. ____________________________________________________________________</w:t>
      </w:r>
    </w:p>
    <w:p>
      <w:pPr>
        <w:pStyle w:val="1"/>
        <w:jc w:val="both"/>
      </w:pPr>
      <w:r>
        <w:rPr>
          <w:sz w:val="20"/>
        </w:rPr>
        <w:t xml:space="preserve">       (полное наименование субъекта малого и среднего предпринимательства)</w:t>
      </w:r>
    </w:p>
    <w:p>
      <w:pPr>
        <w:pStyle w:val="0"/>
        <w:ind w:firstLine="540"/>
        <w:jc w:val="both"/>
      </w:pPr>
      <w:r>
        <w:rPr>
          <w:sz w:val="20"/>
        </w:rPr>
        <w:t xml:space="preserve">2. Дата государственной регистрации в ЕГРЮЛ (ЕГРИП) - "__" _________ 20__ г.</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8"/>
        <w:gridCol w:w="1276"/>
        <w:gridCol w:w="1701"/>
        <w:gridCol w:w="1304"/>
        <w:gridCol w:w="1191"/>
        <w:gridCol w:w="2041"/>
        <w:gridCol w:w="1247"/>
        <w:gridCol w:w="3231"/>
      </w:tblGrid>
      <w:tr>
        <w:tc>
          <w:tcPr>
            <w:gridSpan w:val="2"/>
            <w:tcW w:w="1844" w:type="dxa"/>
            <w:vAlign w:val="center"/>
          </w:tcPr>
          <w:p>
            <w:pPr>
              <w:pStyle w:val="0"/>
              <w:jc w:val="center"/>
            </w:pPr>
            <w:r>
              <w:rPr>
                <w:sz w:val="20"/>
              </w:rPr>
              <w:t xml:space="preserve">Договор лизинга оборудования</w:t>
            </w:r>
          </w:p>
        </w:tc>
        <w:tc>
          <w:tcPr>
            <w:tcW w:w="1701" w:type="dxa"/>
            <w:vAlign w:val="center"/>
            <w:vMerge w:val="restart"/>
          </w:tcPr>
          <w:p>
            <w:pPr>
              <w:pStyle w:val="0"/>
              <w:jc w:val="center"/>
            </w:pPr>
            <w:r>
              <w:rPr>
                <w:sz w:val="20"/>
              </w:rPr>
              <w:t xml:space="preserve">Наименование предмета лизинга</w:t>
            </w:r>
          </w:p>
        </w:tc>
        <w:tc>
          <w:tcPr>
            <w:tcW w:w="1304" w:type="dxa"/>
            <w:vAlign w:val="center"/>
            <w:vMerge w:val="restart"/>
          </w:tcPr>
          <w:p>
            <w:pPr>
              <w:pStyle w:val="0"/>
              <w:jc w:val="center"/>
            </w:pPr>
            <w:r>
              <w:rPr>
                <w:sz w:val="20"/>
              </w:rPr>
              <w:t xml:space="preserve">Полная стоимость предмета лизинга, рублей</w:t>
            </w:r>
          </w:p>
        </w:tc>
        <w:tc>
          <w:tcPr>
            <w:tcW w:w="1191" w:type="dxa"/>
            <w:vAlign w:val="center"/>
            <w:vMerge w:val="restart"/>
          </w:tcPr>
          <w:p>
            <w:pPr>
              <w:pStyle w:val="0"/>
              <w:jc w:val="center"/>
            </w:pPr>
            <w:r>
              <w:rPr>
                <w:sz w:val="20"/>
              </w:rPr>
              <w:t xml:space="preserve">Размер первого взноса (аванса), рублей</w:t>
            </w:r>
          </w:p>
        </w:tc>
        <w:tc>
          <w:tcPr>
            <w:tcW w:w="2041" w:type="dxa"/>
            <w:vAlign w:val="center"/>
            <w:vMerge w:val="restart"/>
          </w:tcPr>
          <w:p>
            <w:pPr>
              <w:pStyle w:val="0"/>
              <w:jc w:val="center"/>
            </w:pPr>
            <w:r>
              <w:rPr>
                <w:sz w:val="20"/>
              </w:rPr>
              <w:t xml:space="preserve">Объем произведенных и подтвержденных затрат по оплате первого взноса (аванса), рублей</w:t>
            </w:r>
          </w:p>
        </w:tc>
        <w:tc>
          <w:tcPr>
            <w:tcW w:w="1247" w:type="dxa"/>
            <w:vAlign w:val="center"/>
            <w:vMerge w:val="restart"/>
          </w:tcPr>
          <w:p>
            <w:pPr>
              <w:pStyle w:val="0"/>
              <w:jc w:val="center"/>
            </w:pPr>
            <w:r>
              <w:rPr>
                <w:sz w:val="20"/>
              </w:rPr>
              <w:t xml:space="preserve">Размер ставки, %</w:t>
            </w:r>
          </w:p>
        </w:tc>
        <w:tc>
          <w:tcPr>
            <w:tcW w:w="3231" w:type="dxa"/>
            <w:vAlign w:val="center"/>
            <w:vMerge w:val="restart"/>
          </w:tcPr>
          <w:p>
            <w:pPr>
              <w:pStyle w:val="0"/>
              <w:jc w:val="center"/>
            </w:pPr>
            <w:r>
              <w:rPr>
                <w:sz w:val="20"/>
              </w:rPr>
              <w:t xml:space="preserve">Сумма субсидии (гр. 6 x гр. 7), но не более суммы, указанной в </w:t>
            </w:r>
            <w:hyperlink w:history="0" w:anchor="P199" w:tooltip="4.4. Субсидии на возмещение части затрат, связанных с уплатой первого взноса (аванса) по договорам лизинга оборудования, предоставляются единовременно в размере, указанном в паспорте бизнес-проекта (инвестиционного проекта) субъекта МСП, представляемого субъектом МСП, но не более 100% произведенных затрат, включая затраты на монтаж оборудования, не более 5 млн рублей и не более чем один раз в три года.">
              <w:r>
                <w:rPr>
                  <w:sz w:val="20"/>
                  <w:color w:val="0000ff"/>
                </w:rPr>
                <w:t xml:space="preserve">пункте 4.4</w:t>
              </w:r>
            </w:hyperlink>
            <w:r>
              <w:rPr>
                <w:sz w:val="20"/>
              </w:rPr>
              <w:t xml:space="preserve"> Порядка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на которую претендует субъект малого и среднего предпринимательства</w:t>
            </w:r>
          </w:p>
        </w:tc>
      </w:tr>
      <w:tr>
        <w:tc>
          <w:tcPr>
            <w:tcW w:w="568" w:type="dxa"/>
            <w:vAlign w:val="center"/>
          </w:tcPr>
          <w:p>
            <w:pPr>
              <w:pStyle w:val="0"/>
              <w:jc w:val="center"/>
            </w:pPr>
            <w:r>
              <w:rPr>
                <w:sz w:val="20"/>
              </w:rPr>
              <w:t xml:space="preserve">N</w:t>
            </w:r>
          </w:p>
        </w:tc>
        <w:tc>
          <w:tcPr>
            <w:tcW w:w="1276" w:type="dxa"/>
            <w:vAlign w:val="center"/>
          </w:tcPr>
          <w:p>
            <w:pPr>
              <w:pStyle w:val="0"/>
              <w:jc w:val="center"/>
            </w:pPr>
            <w:r>
              <w:rPr>
                <w:sz w:val="20"/>
              </w:rPr>
              <w:t xml:space="preserve">дата</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8" w:type="dxa"/>
            <w:vAlign w:val="center"/>
          </w:tcPr>
          <w:p>
            <w:pPr>
              <w:pStyle w:val="0"/>
              <w:jc w:val="center"/>
            </w:pPr>
            <w:r>
              <w:rPr>
                <w:sz w:val="20"/>
              </w:rPr>
              <w:t xml:space="preserve">1</w:t>
            </w:r>
          </w:p>
        </w:tc>
        <w:tc>
          <w:tcPr>
            <w:tcW w:w="1276" w:type="dxa"/>
            <w:vAlign w:val="center"/>
          </w:tcPr>
          <w:p>
            <w:pPr>
              <w:pStyle w:val="0"/>
              <w:jc w:val="center"/>
            </w:pPr>
            <w:r>
              <w:rPr>
                <w:sz w:val="20"/>
              </w:rPr>
              <w:t xml:space="preserve">2</w:t>
            </w:r>
          </w:p>
        </w:tc>
        <w:tc>
          <w:tcPr>
            <w:tcW w:w="1701" w:type="dxa"/>
            <w:vAlign w:val="center"/>
          </w:tcPr>
          <w:p>
            <w:pPr>
              <w:pStyle w:val="0"/>
              <w:jc w:val="center"/>
            </w:pPr>
            <w:r>
              <w:rPr>
                <w:sz w:val="20"/>
              </w:rPr>
              <w:t xml:space="preserve">3</w:t>
            </w:r>
          </w:p>
        </w:tc>
        <w:tc>
          <w:tcPr>
            <w:tcW w:w="1304" w:type="dxa"/>
            <w:vAlign w:val="center"/>
          </w:tcPr>
          <w:p>
            <w:pPr>
              <w:pStyle w:val="0"/>
              <w:jc w:val="center"/>
            </w:pPr>
            <w:r>
              <w:rPr>
                <w:sz w:val="20"/>
              </w:rPr>
              <w:t xml:space="preserve">4</w:t>
            </w:r>
          </w:p>
        </w:tc>
        <w:tc>
          <w:tcPr>
            <w:tcW w:w="1191" w:type="dxa"/>
            <w:vAlign w:val="center"/>
          </w:tcPr>
          <w:p>
            <w:pPr>
              <w:pStyle w:val="0"/>
              <w:jc w:val="center"/>
            </w:pPr>
            <w:r>
              <w:rPr>
                <w:sz w:val="20"/>
              </w:rPr>
              <w:t xml:space="preserve">5</w:t>
            </w:r>
          </w:p>
        </w:tc>
        <w:tc>
          <w:tcPr>
            <w:tcW w:w="2041" w:type="dxa"/>
            <w:vAlign w:val="center"/>
          </w:tcPr>
          <w:p>
            <w:pPr>
              <w:pStyle w:val="0"/>
              <w:jc w:val="center"/>
            </w:pPr>
            <w:r>
              <w:rPr>
                <w:sz w:val="20"/>
              </w:rPr>
              <w:t xml:space="preserve">6</w:t>
            </w:r>
          </w:p>
        </w:tc>
        <w:tc>
          <w:tcPr>
            <w:tcW w:w="1247" w:type="dxa"/>
            <w:vAlign w:val="center"/>
          </w:tcPr>
          <w:p>
            <w:pPr>
              <w:pStyle w:val="0"/>
              <w:jc w:val="center"/>
            </w:pPr>
            <w:r>
              <w:rPr>
                <w:sz w:val="20"/>
              </w:rPr>
              <w:t xml:space="preserve">7</w:t>
            </w:r>
          </w:p>
        </w:tc>
        <w:tc>
          <w:tcPr>
            <w:tcW w:w="3231" w:type="dxa"/>
            <w:vAlign w:val="center"/>
          </w:tcPr>
          <w:p>
            <w:pPr>
              <w:pStyle w:val="0"/>
              <w:jc w:val="center"/>
            </w:pPr>
            <w:r>
              <w:rPr>
                <w:sz w:val="20"/>
              </w:rPr>
              <w:t xml:space="preserve">8</w:t>
            </w:r>
          </w:p>
        </w:tc>
      </w:tr>
      <w:tr>
        <w:tc>
          <w:tcPr>
            <w:tcW w:w="568" w:type="dxa"/>
            <w:vAlign w:val="center"/>
          </w:tcPr>
          <w:p>
            <w:pPr>
              <w:pStyle w:val="0"/>
            </w:pPr>
            <w:r>
              <w:rPr>
                <w:sz w:val="20"/>
              </w:rPr>
            </w:r>
          </w:p>
        </w:tc>
        <w:tc>
          <w:tcPr>
            <w:tcW w:w="1276" w:type="dxa"/>
            <w:vAlign w:val="center"/>
          </w:tcPr>
          <w:p>
            <w:pPr>
              <w:pStyle w:val="0"/>
            </w:pPr>
            <w:r>
              <w:rPr>
                <w:sz w:val="20"/>
              </w:rPr>
            </w:r>
          </w:p>
        </w:tc>
        <w:tc>
          <w:tcPr>
            <w:tcW w:w="1701" w:type="dxa"/>
            <w:vAlign w:val="center"/>
          </w:tcPr>
          <w:p>
            <w:pPr>
              <w:pStyle w:val="0"/>
            </w:pPr>
            <w:r>
              <w:rPr>
                <w:sz w:val="20"/>
              </w:rPr>
            </w:r>
          </w:p>
        </w:tc>
        <w:tc>
          <w:tcPr>
            <w:tcW w:w="1304" w:type="dxa"/>
            <w:vAlign w:val="center"/>
          </w:tcPr>
          <w:p>
            <w:pPr>
              <w:pStyle w:val="0"/>
            </w:pPr>
            <w:r>
              <w:rPr>
                <w:sz w:val="20"/>
              </w:rPr>
            </w:r>
          </w:p>
        </w:tc>
        <w:tc>
          <w:tcPr>
            <w:tcW w:w="1191" w:type="dxa"/>
            <w:vAlign w:val="center"/>
          </w:tcPr>
          <w:p>
            <w:pPr>
              <w:pStyle w:val="0"/>
            </w:pPr>
            <w:r>
              <w:rPr>
                <w:sz w:val="20"/>
              </w:rPr>
            </w:r>
          </w:p>
        </w:tc>
        <w:tc>
          <w:tcPr>
            <w:tcW w:w="2041" w:type="dxa"/>
            <w:vAlign w:val="center"/>
          </w:tcPr>
          <w:p>
            <w:pPr>
              <w:pStyle w:val="0"/>
            </w:pPr>
            <w:r>
              <w:rPr>
                <w:sz w:val="20"/>
              </w:rPr>
            </w:r>
          </w:p>
        </w:tc>
        <w:tc>
          <w:tcPr>
            <w:tcW w:w="1247" w:type="dxa"/>
            <w:vAlign w:val="center"/>
          </w:tcPr>
          <w:p>
            <w:pPr>
              <w:pStyle w:val="0"/>
            </w:pPr>
            <w:r>
              <w:rPr>
                <w:sz w:val="20"/>
              </w:rPr>
            </w:r>
          </w:p>
        </w:tc>
        <w:tc>
          <w:tcPr>
            <w:tcW w:w="3231" w:type="dxa"/>
            <w:vAlign w:val="center"/>
          </w:tcPr>
          <w:p>
            <w:pPr>
              <w:pStyle w:val="0"/>
            </w:pPr>
            <w:r>
              <w:rPr>
                <w:sz w:val="20"/>
              </w:rPr>
            </w:r>
          </w:p>
        </w:tc>
      </w:tr>
      <w:tr>
        <w:tc>
          <w:tcPr>
            <w:gridSpan w:val="7"/>
            <w:tcW w:w="9328" w:type="dxa"/>
            <w:vAlign w:val="center"/>
          </w:tcPr>
          <w:p>
            <w:pPr>
              <w:pStyle w:val="0"/>
              <w:jc w:val="center"/>
            </w:pPr>
            <w:r>
              <w:rPr>
                <w:sz w:val="20"/>
              </w:rPr>
              <w:t xml:space="preserve">ИТОГО</w:t>
            </w:r>
          </w:p>
        </w:tc>
        <w:tc>
          <w:tcPr>
            <w:tcW w:w="3231" w:type="dxa"/>
            <w:vAlign w:val="center"/>
          </w:tcPr>
          <w:p>
            <w:pPr>
              <w:pStyle w:val="0"/>
            </w:pPr>
            <w:r>
              <w:rPr>
                <w:sz w:val="20"/>
              </w:rPr>
            </w:r>
          </w:p>
        </w:tc>
      </w:tr>
    </w:tbl>
    <w:p>
      <w:pPr>
        <w:pStyle w:val="0"/>
        <w:jc w:val="both"/>
      </w:pPr>
      <w:r>
        <w:rPr>
          <w:sz w:val="20"/>
        </w:rPr>
      </w:r>
    </w:p>
    <w:p>
      <w:pPr>
        <w:pStyle w:val="1"/>
        <w:jc w:val="both"/>
      </w:pPr>
      <w:r>
        <w:rPr>
          <w:sz w:val="20"/>
        </w:rPr>
        <w:t xml:space="preserve">    Руководитель (индивидуальный предприниматель)</w:t>
      </w:r>
    </w:p>
    <w:p>
      <w:pPr>
        <w:pStyle w:val="1"/>
        <w:jc w:val="both"/>
      </w:pPr>
      <w:r>
        <w:rPr>
          <w:sz w:val="20"/>
        </w:rPr>
        <w:t xml:space="preserve">    __________________/___________________________________/</w:t>
      </w:r>
    </w:p>
    <w:p>
      <w:pPr>
        <w:pStyle w:val="1"/>
        <w:jc w:val="both"/>
      </w:pPr>
      <w:r>
        <w:rPr>
          <w:sz w:val="20"/>
        </w:rPr>
        <w:t xml:space="preserve">         (подпись)                    (ФИО)</w:t>
      </w:r>
    </w:p>
    <w:p>
      <w:pPr>
        <w:pStyle w:val="1"/>
        <w:jc w:val="both"/>
      </w:pPr>
      <w:r>
        <w:rPr>
          <w:sz w:val="20"/>
        </w:rPr>
        <w:t xml:space="preserve">    М.П. (при наличии)</w:t>
      </w:r>
    </w:p>
    <w:p>
      <w:pPr>
        <w:pStyle w:val="1"/>
        <w:jc w:val="both"/>
      </w:pPr>
      <w:r>
        <w:rPr>
          <w:sz w:val="20"/>
        </w:rPr>
        <w:t xml:space="preserve">    "___" ________________ 20__ г.</w:t>
      </w:r>
    </w:p>
    <w:p>
      <w:pPr>
        <w:sectPr>
          <w:headerReference w:type="default" r:id="rId277"/>
          <w:headerReference w:type="first" r:id="rId277"/>
          <w:footerReference w:type="default" r:id="rId278"/>
          <w:footerReference w:type="first" r:id="rId278"/>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4(1)</w:t>
      </w:r>
    </w:p>
    <w:p>
      <w:pPr>
        <w:pStyle w:val="0"/>
        <w:jc w:val="right"/>
      </w:pPr>
      <w:r>
        <w:rPr>
          <w:sz w:val="20"/>
        </w:rPr>
        <w:t xml:space="preserve">к Порядку</w:t>
      </w:r>
    </w:p>
    <w:p>
      <w:pPr>
        <w:pStyle w:val="0"/>
        <w:jc w:val="right"/>
      </w:pPr>
      <w:r>
        <w:rPr>
          <w:sz w:val="20"/>
        </w:rPr>
        <w:t xml:space="preserve">предоставления субсидий из бюджета</w:t>
      </w:r>
    </w:p>
    <w:p>
      <w:pPr>
        <w:pStyle w:val="0"/>
        <w:jc w:val="right"/>
      </w:pPr>
      <w:r>
        <w:rPr>
          <w:sz w:val="20"/>
        </w:rPr>
        <w:t xml:space="preserve">Пермского края субъектам малого</w:t>
      </w:r>
    </w:p>
    <w:p>
      <w:pPr>
        <w:pStyle w:val="0"/>
        <w:jc w:val="right"/>
      </w:pPr>
      <w:r>
        <w:rPr>
          <w:sz w:val="20"/>
        </w:rPr>
        <w:t xml:space="preserve">и среднего предпринимательства</w:t>
      </w:r>
    </w:p>
    <w:p>
      <w:pPr>
        <w:pStyle w:val="0"/>
        <w:jc w:val="right"/>
      </w:pPr>
      <w:r>
        <w:rPr>
          <w:sz w:val="20"/>
        </w:rPr>
        <w:t xml:space="preserve">в целях возмещения части затрат,</w:t>
      </w:r>
    </w:p>
    <w:p>
      <w:pPr>
        <w:pStyle w:val="0"/>
        <w:jc w:val="right"/>
      </w:pPr>
      <w:r>
        <w:rPr>
          <w:sz w:val="20"/>
        </w:rPr>
        <w:t xml:space="preserve">связанных с осуществлением ими</w:t>
      </w:r>
    </w:p>
    <w:p>
      <w:pPr>
        <w:pStyle w:val="0"/>
        <w:jc w:val="right"/>
      </w:pPr>
      <w:r>
        <w:rPr>
          <w:sz w:val="20"/>
        </w:rPr>
        <w:t xml:space="preserve">предпринимательской деятельности</w:t>
      </w:r>
    </w:p>
    <w:p>
      <w:pPr>
        <w:pStyle w:val="0"/>
        <w:jc w:val="both"/>
      </w:pPr>
      <w:r>
        <w:rPr>
          <w:sz w:val="20"/>
        </w:rPr>
      </w:r>
    </w:p>
    <w:p>
      <w:pPr>
        <w:pStyle w:val="0"/>
        <w:jc w:val="center"/>
      </w:pPr>
      <w:r>
        <w:rPr>
          <w:sz w:val="20"/>
        </w:rPr>
        <w:t xml:space="preserve">УВЕДОМЛЕНИЕ</w:t>
      </w:r>
    </w:p>
    <w:p>
      <w:pPr>
        <w:pStyle w:val="0"/>
        <w:jc w:val="center"/>
      </w:pPr>
      <w:r>
        <w:rPr>
          <w:sz w:val="20"/>
        </w:rPr>
        <w:t xml:space="preserve">о соответствии документов и субъекта малого и среднего</w:t>
      </w:r>
    </w:p>
    <w:p>
      <w:pPr>
        <w:pStyle w:val="0"/>
        <w:jc w:val="center"/>
      </w:pPr>
      <w:r>
        <w:rPr>
          <w:sz w:val="20"/>
        </w:rPr>
        <w:t xml:space="preserve">предпринимательства условиям предоставления субсидии</w:t>
      </w:r>
    </w:p>
    <w:p>
      <w:pPr>
        <w:pStyle w:val="0"/>
        <w:jc w:val="center"/>
      </w:pPr>
      <w:r>
        <w:rPr>
          <w:sz w:val="20"/>
        </w:rPr>
        <w:t xml:space="preserve">(полное наименование субъекта малого и среднего</w:t>
      </w:r>
    </w:p>
    <w:p>
      <w:pPr>
        <w:pStyle w:val="0"/>
        <w:jc w:val="center"/>
      </w:pPr>
      <w:r>
        <w:rPr>
          <w:sz w:val="20"/>
        </w:rPr>
        <w:t xml:space="preserve">предпринимательства, ИНН)</w:t>
      </w:r>
    </w:p>
    <w:p>
      <w:pPr>
        <w:pStyle w:val="0"/>
        <w:jc w:val="both"/>
      </w:pPr>
      <w:r>
        <w:rPr>
          <w:sz w:val="20"/>
        </w:rPr>
      </w:r>
    </w:p>
    <w:p>
      <w:pPr>
        <w:pStyle w:val="0"/>
        <w:ind w:firstLine="540"/>
        <w:jc w:val="both"/>
      </w:pPr>
      <w:r>
        <w:rPr>
          <w:sz w:val="20"/>
        </w:rPr>
        <w:t xml:space="preserve">Утратило силу. - </w:t>
      </w:r>
      <w:hyperlink w:history="0" r:id="rId279"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w:t>
        </w:r>
      </w:hyperlink>
      <w:r>
        <w:rPr>
          <w:sz w:val="20"/>
        </w:rPr>
        <w:t xml:space="preserve"> Правительства Пермского края от 30.03.2023 N 222-п.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4(2)</w:t>
      </w:r>
    </w:p>
    <w:p>
      <w:pPr>
        <w:pStyle w:val="0"/>
        <w:jc w:val="right"/>
      </w:pPr>
      <w:r>
        <w:rPr>
          <w:sz w:val="20"/>
        </w:rPr>
        <w:t xml:space="preserve">к Порядку</w:t>
      </w:r>
    </w:p>
    <w:p>
      <w:pPr>
        <w:pStyle w:val="0"/>
        <w:jc w:val="right"/>
      </w:pPr>
      <w:r>
        <w:rPr>
          <w:sz w:val="20"/>
        </w:rPr>
        <w:t xml:space="preserve">предоставления субсидий из бюджета</w:t>
      </w:r>
    </w:p>
    <w:p>
      <w:pPr>
        <w:pStyle w:val="0"/>
        <w:jc w:val="right"/>
      </w:pPr>
      <w:r>
        <w:rPr>
          <w:sz w:val="20"/>
        </w:rPr>
        <w:t xml:space="preserve">Пермского края субъектам малого</w:t>
      </w:r>
    </w:p>
    <w:p>
      <w:pPr>
        <w:pStyle w:val="0"/>
        <w:jc w:val="right"/>
      </w:pPr>
      <w:r>
        <w:rPr>
          <w:sz w:val="20"/>
        </w:rPr>
        <w:t xml:space="preserve">и среднего предпринимательства</w:t>
      </w:r>
    </w:p>
    <w:p>
      <w:pPr>
        <w:pStyle w:val="0"/>
        <w:jc w:val="right"/>
      </w:pPr>
      <w:r>
        <w:rPr>
          <w:sz w:val="20"/>
        </w:rPr>
        <w:t xml:space="preserve">в целях возмещения части затрат,</w:t>
      </w:r>
    </w:p>
    <w:p>
      <w:pPr>
        <w:pStyle w:val="0"/>
        <w:jc w:val="right"/>
      </w:pPr>
      <w:r>
        <w:rPr>
          <w:sz w:val="20"/>
        </w:rPr>
        <w:t xml:space="preserve">связанных с осуществлением ими</w:t>
      </w:r>
    </w:p>
    <w:p>
      <w:pPr>
        <w:pStyle w:val="0"/>
        <w:jc w:val="right"/>
      </w:pPr>
      <w:r>
        <w:rPr>
          <w:sz w:val="20"/>
        </w:rPr>
        <w:t xml:space="preserve">предпринимательской деятельности</w:t>
      </w:r>
    </w:p>
    <w:p>
      <w:pPr>
        <w:pStyle w:val="0"/>
        <w:jc w:val="both"/>
      </w:pPr>
      <w:r>
        <w:rPr>
          <w:sz w:val="20"/>
        </w:rPr>
      </w:r>
    </w:p>
    <w:p>
      <w:pPr>
        <w:pStyle w:val="0"/>
        <w:jc w:val="center"/>
      </w:pPr>
      <w:r>
        <w:rPr>
          <w:sz w:val="20"/>
        </w:rPr>
        <w:t xml:space="preserve">УВЕДОМЛЕНИЕ</w:t>
      </w:r>
    </w:p>
    <w:p>
      <w:pPr>
        <w:pStyle w:val="0"/>
        <w:jc w:val="center"/>
      </w:pPr>
      <w:r>
        <w:rPr>
          <w:sz w:val="20"/>
        </w:rPr>
        <w:t xml:space="preserve">о несоответствии документов и субъекта малого и среднего</w:t>
      </w:r>
    </w:p>
    <w:p>
      <w:pPr>
        <w:pStyle w:val="0"/>
        <w:jc w:val="center"/>
      </w:pPr>
      <w:r>
        <w:rPr>
          <w:sz w:val="20"/>
        </w:rPr>
        <w:t xml:space="preserve">предпринимательства условиям предоставления субсидии</w:t>
      </w:r>
    </w:p>
    <w:p>
      <w:pPr>
        <w:pStyle w:val="0"/>
        <w:jc w:val="center"/>
      </w:pPr>
      <w:r>
        <w:rPr>
          <w:sz w:val="20"/>
        </w:rPr>
        <w:t xml:space="preserve">(полное наименование субъекта малого и среднего</w:t>
      </w:r>
    </w:p>
    <w:p>
      <w:pPr>
        <w:pStyle w:val="0"/>
        <w:jc w:val="center"/>
      </w:pPr>
      <w:r>
        <w:rPr>
          <w:sz w:val="20"/>
        </w:rPr>
        <w:t xml:space="preserve">предпринимательства, ИНН)</w:t>
      </w:r>
    </w:p>
    <w:p>
      <w:pPr>
        <w:pStyle w:val="0"/>
        <w:jc w:val="both"/>
      </w:pPr>
      <w:r>
        <w:rPr>
          <w:sz w:val="20"/>
        </w:rPr>
      </w:r>
    </w:p>
    <w:p>
      <w:pPr>
        <w:pStyle w:val="0"/>
        <w:ind w:firstLine="540"/>
        <w:jc w:val="both"/>
      </w:pPr>
      <w:r>
        <w:rPr>
          <w:sz w:val="20"/>
        </w:rPr>
        <w:t xml:space="preserve">Утратило силу. - </w:t>
      </w:r>
      <w:hyperlink w:history="0" r:id="rId280"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w:t>
        </w:r>
      </w:hyperlink>
      <w:r>
        <w:rPr>
          <w:sz w:val="20"/>
        </w:rPr>
        <w:t xml:space="preserve"> Правительства Пермского края от 30.03.2023 N 222-п.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5</w:t>
      </w:r>
    </w:p>
    <w:p>
      <w:pPr>
        <w:pStyle w:val="0"/>
        <w:jc w:val="right"/>
      </w:pPr>
      <w:r>
        <w:rPr>
          <w:sz w:val="20"/>
        </w:rPr>
        <w:t xml:space="preserve">к Порядку</w:t>
      </w:r>
    </w:p>
    <w:p>
      <w:pPr>
        <w:pStyle w:val="0"/>
        <w:jc w:val="right"/>
      </w:pPr>
      <w:r>
        <w:rPr>
          <w:sz w:val="20"/>
        </w:rPr>
        <w:t xml:space="preserve">предоставления субсидий из бюджета</w:t>
      </w:r>
    </w:p>
    <w:p>
      <w:pPr>
        <w:pStyle w:val="0"/>
        <w:jc w:val="right"/>
      </w:pPr>
      <w:r>
        <w:rPr>
          <w:sz w:val="20"/>
        </w:rPr>
        <w:t xml:space="preserve">Пермского края субъектам малого</w:t>
      </w:r>
    </w:p>
    <w:p>
      <w:pPr>
        <w:pStyle w:val="0"/>
        <w:jc w:val="right"/>
      </w:pPr>
      <w:r>
        <w:rPr>
          <w:sz w:val="20"/>
        </w:rPr>
        <w:t xml:space="preserve">и среднего предпринимательства</w:t>
      </w:r>
    </w:p>
    <w:p>
      <w:pPr>
        <w:pStyle w:val="0"/>
        <w:jc w:val="right"/>
      </w:pPr>
      <w:r>
        <w:rPr>
          <w:sz w:val="20"/>
        </w:rPr>
        <w:t xml:space="preserve">в целях возмещения части затрат,</w:t>
      </w:r>
    </w:p>
    <w:p>
      <w:pPr>
        <w:pStyle w:val="0"/>
        <w:jc w:val="right"/>
      </w:pPr>
      <w:r>
        <w:rPr>
          <w:sz w:val="20"/>
        </w:rPr>
        <w:t xml:space="preserve">связанных с осуществлением ими</w:t>
      </w:r>
    </w:p>
    <w:p>
      <w:pPr>
        <w:pStyle w:val="0"/>
        <w:jc w:val="right"/>
      </w:pPr>
      <w:r>
        <w:rPr>
          <w:sz w:val="20"/>
        </w:rPr>
        <w:t xml:space="preserve">предпринимательской деятельности</w:t>
      </w:r>
    </w:p>
    <w:p>
      <w:pPr>
        <w:pStyle w:val="0"/>
        <w:jc w:val="both"/>
      </w:pPr>
      <w:r>
        <w:rPr>
          <w:sz w:val="20"/>
        </w:rPr>
      </w:r>
    </w:p>
    <w:bookmarkStart w:id="1091" w:name="P1091"/>
    <w:bookmarkEnd w:id="1091"/>
    <w:p>
      <w:pPr>
        <w:pStyle w:val="2"/>
        <w:jc w:val="center"/>
      </w:pPr>
      <w:r>
        <w:rPr>
          <w:sz w:val="20"/>
        </w:rPr>
        <w:t xml:space="preserve">КРИТЕРИИ</w:t>
      </w:r>
    </w:p>
    <w:p>
      <w:pPr>
        <w:pStyle w:val="2"/>
        <w:jc w:val="center"/>
      </w:pPr>
      <w:r>
        <w:rPr>
          <w:sz w:val="20"/>
        </w:rPr>
        <w:t xml:space="preserve">оценки бизнес-проекта (инвестиционного проекта)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81"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color w:val="392c69"/>
              </w:rPr>
              <w:t xml:space="preserve"> Правительства Пермского края от 30.03.2023 N 222-п)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04"/>
        <w:gridCol w:w="3061"/>
        <w:gridCol w:w="2111"/>
        <w:gridCol w:w="1442"/>
        <w:gridCol w:w="1503"/>
        <w:gridCol w:w="1417"/>
      </w:tblGrid>
      <w:tr>
        <w:tc>
          <w:tcPr>
            <w:tcW w:w="604" w:type="dxa"/>
            <w:vAlign w:val="center"/>
            <w:vMerge w:val="restart"/>
          </w:tcPr>
          <w:p>
            <w:pPr>
              <w:pStyle w:val="0"/>
              <w:jc w:val="center"/>
            </w:pPr>
            <w:r>
              <w:rPr>
                <w:sz w:val="20"/>
              </w:rPr>
              <w:t xml:space="preserve">N п/п</w:t>
            </w:r>
          </w:p>
        </w:tc>
        <w:tc>
          <w:tcPr>
            <w:tcW w:w="3061" w:type="dxa"/>
            <w:vAlign w:val="center"/>
            <w:vMerge w:val="restart"/>
          </w:tcPr>
          <w:p>
            <w:pPr>
              <w:pStyle w:val="0"/>
              <w:jc w:val="center"/>
            </w:pPr>
            <w:r>
              <w:rPr>
                <w:sz w:val="20"/>
              </w:rPr>
              <w:t xml:space="preserve">Наименование критериев оценки бизнес-проекта (инвестиционного проекта)</w:t>
            </w:r>
          </w:p>
        </w:tc>
        <w:tc>
          <w:tcPr>
            <w:tcW w:w="2111" w:type="dxa"/>
            <w:vAlign w:val="center"/>
            <w:vMerge w:val="restart"/>
          </w:tcPr>
          <w:p>
            <w:pPr>
              <w:pStyle w:val="0"/>
              <w:jc w:val="center"/>
            </w:pPr>
            <w:r>
              <w:rPr>
                <w:sz w:val="20"/>
              </w:rPr>
              <w:t xml:space="preserve">Значение критериев оценки бизнес-проекта (инвестиционного проекта)</w:t>
            </w:r>
          </w:p>
        </w:tc>
        <w:tc>
          <w:tcPr>
            <w:gridSpan w:val="3"/>
            <w:tcW w:w="4362" w:type="dxa"/>
            <w:vAlign w:val="center"/>
          </w:tcPr>
          <w:p>
            <w:pPr>
              <w:pStyle w:val="0"/>
              <w:jc w:val="center"/>
            </w:pPr>
            <w:r>
              <w:rPr>
                <w:sz w:val="20"/>
              </w:rPr>
              <w:t xml:space="preserve">Количество баллов</w:t>
            </w:r>
          </w:p>
        </w:tc>
      </w:tr>
      <w:tr>
        <w:tc>
          <w:tcPr>
            <w:vMerge w:val="continue"/>
          </w:tcPr>
          <w:p/>
        </w:tc>
        <w:tc>
          <w:tcPr>
            <w:vMerge w:val="continue"/>
          </w:tcPr>
          <w:p/>
        </w:tc>
        <w:tc>
          <w:tcPr>
            <w:vMerge w:val="continue"/>
          </w:tcPr>
          <w:p/>
        </w:tc>
        <w:tc>
          <w:tcPr>
            <w:tcW w:w="1442" w:type="dxa"/>
            <w:vAlign w:val="center"/>
            <w:vMerge w:val="restart"/>
          </w:tcPr>
          <w:p>
            <w:pPr>
              <w:pStyle w:val="0"/>
              <w:jc w:val="center"/>
            </w:pPr>
            <w:r>
              <w:rPr>
                <w:sz w:val="20"/>
              </w:rPr>
              <w:t xml:space="preserve">для начинающих субъектов малого и среднего предпринимательства</w:t>
            </w:r>
          </w:p>
        </w:tc>
        <w:tc>
          <w:tcPr>
            <w:gridSpan w:val="2"/>
            <w:tcW w:w="2920" w:type="dxa"/>
            <w:vAlign w:val="center"/>
          </w:tcPr>
          <w:p>
            <w:pPr>
              <w:pStyle w:val="0"/>
              <w:jc w:val="center"/>
            </w:pPr>
            <w:r>
              <w:rPr>
                <w:sz w:val="20"/>
              </w:rPr>
              <w:t xml:space="preserve">для действующих субъектов малого и среднего предпринимательства</w:t>
            </w:r>
          </w:p>
        </w:tc>
      </w:tr>
      <w:tr>
        <w:tc>
          <w:tcPr>
            <w:vMerge w:val="continue"/>
          </w:tcPr>
          <w:p/>
        </w:tc>
        <w:tc>
          <w:tcPr>
            <w:vMerge w:val="continue"/>
          </w:tcPr>
          <w:p/>
        </w:tc>
        <w:tc>
          <w:tcPr>
            <w:vMerge w:val="continue"/>
          </w:tcPr>
          <w:p/>
        </w:tc>
        <w:tc>
          <w:tcPr>
            <w:vMerge w:val="continue"/>
          </w:tcPr>
          <w:p/>
        </w:tc>
        <w:tc>
          <w:tcPr>
            <w:tcW w:w="1503" w:type="dxa"/>
            <w:vAlign w:val="center"/>
          </w:tcPr>
          <w:p>
            <w:pPr>
              <w:pStyle w:val="0"/>
              <w:jc w:val="center"/>
            </w:pPr>
            <w:r>
              <w:rPr>
                <w:sz w:val="20"/>
              </w:rPr>
              <w:t xml:space="preserve">для микро </w:t>
            </w:r>
            <w:hyperlink w:history="0" w:anchor="P1336" w:tooltip="&lt;1&gt; В соответствии с условиями отнесения к соответствующей категории, установленными частью 3 статьи 4 Федерального закона от 24 июля 2007 г. N 209-ФЗ &quot;О развитии малого и среднего предпринимательства в Российской Федерации&quot;.">
              <w:r>
                <w:rPr>
                  <w:sz w:val="20"/>
                  <w:color w:val="0000ff"/>
                </w:rPr>
                <w:t xml:space="preserve">&lt;1&gt;</w:t>
              </w:r>
            </w:hyperlink>
          </w:p>
        </w:tc>
        <w:tc>
          <w:tcPr>
            <w:tcW w:w="1417" w:type="dxa"/>
            <w:vAlign w:val="center"/>
          </w:tcPr>
          <w:p>
            <w:pPr>
              <w:pStyle w:val="0"/>
              <w:jc w:val="center"/>
            </w:pPr>
            <w:r>
              <w:rPr>
                <w:sz w:val="20"/>
              </w:rPr>
              <w:t xml:space="preserve">для малых и средних </w:t>
            </w:r>
            <w:hyperlink w:history="0" w:anchor="P1336" w:tooltip="&lt;1&gt; В соответствии с условиями отнесения к соответствующей категории, установленными частью 3 статьи 4 Федерального закона от 24 июля 2007 г. N 209-ФЗ &quot;О развитии малого и среднего предпринимательства в Российской Федерации&quot;.">
              <w:r>
                <w:rPr>
                  <w:sz w:val="20"/>
                  <w:color w:val="0000ff"/>
                </w:rPr>
                <w:t xml:space="preserve">&lt;1&gt;</w:t>
              </w:r>
            </w:hyperlink>
          </w:p>
        </w:tc>
      </w:tr>
      <w:tr>
        <w:tc>
          <w:tcPr>
            <w:tcW w:w="604" w:type="dxa"/>
            <w:vAlign w:val="center"/>
          </w:tcPr>
          <w:p>
            <w:pPr>
              <w:pStyle w:val="0"/>
              <w:jc w:val="center"/>
            </w:pPr>
            <w:r>
              <w:rPr>
                <w:sz w:val="20"/>
              </w:rPr>
              <w:t xml:space="preserve">1</w:t>
            </w:r>
          </w:p>
        </w:tc>
        <w:tc>
          <w:tcPr>
            <w:tcW w:w="3061" w:type="dxa"/>
            <w:vAlign w:val="center"/>
          </w:tcPr>
          <w:p>
            <w:pPr>
              <w:pStyle w:val="0"/>
              <w:jc w:val="center"/>
            </w:pPr>
            <w:r>
              <w:rPr>
                <w:sz w:val="20"/>
              </w:rPr>
              <w:t xml:space="preserve">2</w:t>
            </w:r>
          </w:p>
        </w:tc>
        <w:tc>
          <w:tcPr>
            <w:tcW w:w="2111" w:type="dxa"/>
            <w:vAlign w:val="center"/>
          </w:tcPr>
          <w:p>
            <w:pPr>
              <w:pStyle w:val="0"/>
              <w:jc w:val="center"/>
            </w:pPr>
            <w:r>
              <w:rPr>
                <w:sz w:val="20"/>
              </w:rPr>
              <w:t xml:space="preserve">3</w:t>
            </w:r>
          </w:p>
        </w:tc>
        <w:tc>
          <w:tcPr>
            <w:tcW w:w="1442" w:type="dxa"/>
            <w:vAlign w:val="center"/>
          </w:tcPr>
          <w:p>
            <w:pPr>
              <w:pStyle w:val="0"/>
              <w:jc w:val="center"/>
            </w:pPr>
            <w:r>
              <w:rPr>
                <w:sz w:val="20"/>
              </w:rPr>
              <w:t xml:space="preserve">4</w:t>
            </w:r>
          </w:p>
        </w:tc>
        <w:tc>
          <w:tcPr>
            <w:tcW w:w="1503" w:type="dxa"/>
            <w:vAlign w:val="center"/>
          </w:tcPr>
          <w:p>
            <w:pPr>
              <w:pStyle w:val="0"/>
              <w:jc w:val="center"/>
            </w:pPr>
            <w:r>
              <w:rPr>
                <w:sz w:val="20"/>
              </w:rPr>
              <w:t xml:space="preserve">5</w:t>
            </w:r>
          </w:p>
        </w:tc>
        <w:tc>
          <w:tcPr>
            <w:tcW w:w="1417" w:type="dxa"/>
            <w:vAlign w:val="center"/>
          </w:tcPr>
          <w:p>
            <w:pPr>
              <w:pStyle w:val="0"/>
              <w:jc w:val="center"/>
            </w:pPr>
            <w:r>
              <w:rPr>
                <w:sz w:val="20"/>
              </w:rPr>
              <w:t xml:space="preserve">6</w:t>
            </w:r>
          </w:p>
        </w:tc>
      </w:tr>
      <w:tr>
        <w:tc>
          <w:tcPr>
            <w:gridSpan w:val="6"/>
            <w:tcW w:w="10138" w:type="dxa"/>
            <w:vAlign w:val="center"/>
          </w:tcPr>
          <w:p>
            <w:pPr>
              <w:pStyle w:val="0"/>
              <w:outlineLvl w:val="2"/>
              <w:jc w:val="center"/>
            </w:pPr>
            <w:r>
              <w:rPr>
                <w:sz w:val="20"/>
              </w:rPr>
              <w:t xml:space="preserve">Раздел I. Критерии оценки отдельных сведений о деятельности субъекта малого и среднего предпринимательства</w:t>
            </w:r>
          </w:p>
        </w:tc>
      </w:tr>
      <w:tr>
        <w:tc>
          <w:tcPr>
            <w:tcW w:w="604" w:type="dxa"/>
            <w:vMerge w:val="restart"/>
          </w:tcPr>
          <w:p>
            <w:pPr>
              <w:pStyle w:val="0"/>
              <w:jc w:val="center"/>
            </w:pPr>
            <w:r>
              <w:rPr>
                <w:sz w:val="20"/>
              </w:rPr>
              <w:t xml:space="preserve">1.1</w:t>
            </w:r>
          </w:p>
        </w:tc>
        <w:tc>
          <w:tcPr>
            <w:tcW w:w="3061" w:type="dxa"/>
            <w:vMerge w:val="restart"/>
          </w:tcPr>
          <w:p>
            <w:pPr>
              <w:pStyle w:val="0"/>
            </w:pPr>
            <w:r>
              <w:rPr>
                <w:sz w:val="20"/>
              </w:rPr>
              <w:t xml:space="preserve">Отнесение субъекта малого и среднего предпринимательства к приоритетной целевой группе субъектов малого и среднего предпринимательства в соответствии с </w:t>
            </w:r>
            <w:hyperlink w:history="0" w:anchor="P69" w:tooltip="1.3.8. приоритетная целевая группа субъектов малого и среднего предпринимательства - группа субъектов МСП, в которую входят:">
              <w:r>
                <w:rPr>
                  <w:sz w:val="20"/>
                  <w:color w:val="0000ff"/>
                </w:rPr>
                <w:t xml:space="preserve">пунктом 1.3.8</w:t>
              </w:r>
            </w:hyperlink>
            <w:r>
              <w:rPr>
                <w:sz w:val="20"/>
              </w:rPr>
              <w:t xml:space="preserve"> Порядка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утвержденного постановлением Правительства Пермского края от 28 декабря 2017 г. N 1100-п</w:t>
            </w:r>
          </w:p>
        </w:tc>
        <w:tc>
          <w:tcPr>
            <w:tcW w:w="2111" w:type="dxa"/>
            <w:vAlign w:val="center"/>
          </w:tcPr>
          <w:p>
            <w:pPr>
              <w:pStyle w:val="0"/>
            </w:pPr>
            <w:r>
              <w:rPr>
                <w:sz w:val="20"/>
              </w:rPr>
              <w:t xml:space="preserve">Относится</w:t>
            </w:r>
          </w:p>
        </w:tc>
        <w:tc>
          <w:tcPr>
            <w:tcW w:w="1442" w:type="dxa"/>
            <w:vAlign w:val="center"/>
          </w:tcPr>
          <w:p>
            <w:pPr>
              <w:pStyle w:val="0"/>
              <w:jc w:val="center"/>
            </w:pPr>
            <w:r>
              <w:rPr>
                <w:sz w:val="20"/>
              </w:rPr>
              <w:t xml:space="preserve">4</w:t>
            </w:r>
          </w:p>
        </w:tc>
        <w:tc>
          <w:tcPr>
            <w:tcW w:w="1503" w:type="dxa"/>
            <w:vAlign w:val="center"/>
          </w:tcPr>
          <w:p>
            <w:pPr>
              <w:pStyle w:val="0"/>
              <w:jc w:val="center"/>
            </w:pPr>
            <w:r>
              <w:rPr>
                <w:sz w:val="20"/>
              </w:rPr>
              <w:t xml:space="preserve">2</w:t>
            </w:r>
          </w:p>
        </w:tc>
        <w:tc>
          <w:tcPr>
            <w:tcW w:w="1417" w:type="dxa"/>
            <w:vAlign w:val="center"/>
          </w:tcPr>
          <w:p>
            <w:pPr>
              <w:pStyle w:val="0"/>
              <w:jc w:val="center"/>
            </w:pPr>
            <w:r>
              <w:rPr>
                <w:sz w:val="20"/>
              </w:rPr>
              <w:t xml:space="preserve">2</w:t>
            </w:r>
          </w:p>
        </w:tc>
      </w:tr>
      <w:tr>
        <w:tc>
          <w:tcPr>
            <w:vMerge w:val="continue"/>
          </w:tcPr>
          <w:p/>
        </w:tc>
        <w:tc>
          <w:tcPr>
            <w:vMerge w:val="continue"/>
          </w:tcPr>
          <w:p/>
        </w:tc>
        <w:tc>
          <w:tcPr>
            <w:tcW w:w="2111" w:type="dxa"/>
            <w:vAlign w:val="center"/>
          </w:tcPr>
          <w:p>
            <w:pPr>
              <w:pStyle w:val="0"/>
            </w:pPr>
            <w:r>
              <w:rPr>
                <w:sz w:val="20"/>
              </w:rPr>
              <w:t xml:space="preserve">Не относится</w:t>
            </w:r>
          </w:p>
        </w:tc>
        <w:tc>
          <w:tcPr>
            <w:tcW w:w="1442" w:type="dxa"/>
            <w:vAlign w:val="center"/>
          </w:tcPr>
          <w:p>
            <w:pPr>
              <w:pStyle w:val="0"/>
              <w:jc w:val="center"/>
            </w:pPr>
            <w:r>
              <w:rPr>
                <w:sz w:val="20"/>
              </w:rPr>
              <w:t xml:space="preserve">0</w:t>
            </w:r>
          </w:p>
        </w:tc>
        <w:tc>
          <w:tcPr>
            <w:tcW w:w="1503" w:type="dxa"/>
            <w:vAlign w:val="center"/>
          </w:tcPr>
          <w:p>
            <w:pPr>
              <w:pStyle w:val="0"/>
              <w:jc w:val="center"/>
            </w:pPr>
            <w:r>
              <w:rPr>
                <w:sz w:val="20"/>
              </w:rPr>
              <w:t xml:space="preserve">0</w:t>
            </w:r>
          </w:p>
        </w:tc>
        <w:tc>
          <w:tcPr>
            <w:tcW w:w="1417" w:type="dxa"/>
            <w:vAlign w:val="center"/>
          </w:tcPr>
          <w:p>
            <w:pPr>
              <w:pStyle w:val="0"/>
              <w:jc w:val="center"/>
            </w:pPr>
            <w:r>
              <w:rPr>
                <w:sz w:val="20"/>
              </w:rPr>
              <w:t xml:space="preserve">0</w:t>
            </w:r>
          </w:p>
        </w:tc>
      </w:tr>
      <w:tr>
        <w:tc>
          <w:tcPr>
            <w:tcW w:w="604" w:type="dxa"/>
            <w:vMerge w:val="restart"/>
          </w:tcPr>
          <w:p>
            <w:pPr>
              <w:pStyle w:val="0"/>
              <w:jc w:val="center"/>
            </w:pPr>
            <w:r>
              <w:rPr>
                <w:sz w:val="20"/>
              </w:rPr>
              <w:t xml:space="preserve">1.2</w:t>
            </w:r>
          </w:p>
        </w:tc>
        <w:tc>
          <w:tcPr>
            <w:tcW w:w="3061" w:type="dxa"/>
            <w:vMerge w:val="restart"/>
          </w:tcPr>
          <w:p>
            <w:pPr>
              <w:pStyle w:val="0"/>
            </w:pPr>
            <w:r>
              <w:rPr>
                <w:sz w:val="20"/>
              </w:rPr>
              <w:t xml:space="preserve">Отношение уровня среднемесячной заработной платы работников субъекта малого и среднего предпринимательства к уровню среднемесячной номинальной заработной платы работников муниципального образования за последний отчетный период </w:t>
            </w:r>
            <w:hyperlink w:history="0" w:anchor="P1337" w:tooltip="&lt;2&gt; Источник данных: Пермьстат.">
              <w:r>
                <w:rPr>
                  <w:sz w:val="20"/>
                  <w:color w:val="0000ff"/>
                </w:rPr>
                <w:t xml:space="preserve">&lt;2&gt;</w:t>
              </w:r>
            </w:hyperlink>
          </w:p>
        </w:tc>
        <w:tc>
          <w:tcPr>
            <w:tcW w:w="2111" w:type="dxa"/>
            <w:vAlign w:val="center"/>
          </w:tcPr>
          <w:p>
            <w:pPr>
              <w:pStyle w:val="0"/>
            </w:pPr>
            <w:r>
              <w:rPr>
                <w:sz w:val="20"/>
              </w:rPr>
              <w:t xml:space="preserve">Более 1,0</w:t>
            </w:r>
          </w:p>
        </w:tc>
        <w:tc>
          <w:tcPr>
            <w:tcW w:w="1442" w:type="dxa"/>
            <w:vAlign w:val="center"/>
          </w:tcPr>
          <w:p>
            <w:pPr>
              <w:pStyle w:val="0"/>
              <w:jc w:val="center"/>
            </w:pPr>
            <w:r>
              <w:rPr>
                <w:sz w:val="20"/>
              </w:rPr>
              <w:t xml:space="preserve">5</w:t>
            </w:r>
          </w:p>
        </w:tc>
        <w:tc>
          <w:tcPr>
            <w:tcW w:w="1503" w:type="dxa"/>
            <w:vAlign w:val="center"/>
          </w:tcPr>
          <w:p>
            <w:pPr>
              <w:pStyle w:val="0"/>
              <w:jc w:val="center"/>
            </w:pPr>
            <w:r>
              <w:rPr>
                <w:sz w:val="20"/>
              </w:rPr>
              <w:t xml:space="preserve">3</w:t>
            </w:r>
          </w:p>
        </w:tc>
        <w:tc>
          <w:tcPr>
            <w:tcW w:w="1417" w:type="dxa"/>
            <w:vAlign w:val="center"/>
          </w:tcPr>
          <w:p>
            <w:pPr>
              <w:pStyle w:val="0"/>
              <w:jc w:val="center"/>
            </w:pPr>
            <w:r>
              <w:rPr>
                <w:sz w:val="20"/>
              </w:rPr>
              <w:t xml:space="preserve">3</w:t>
            </w:r>
          </w:p>
        </w:tc>
      </w:tr>
      <w:tr>
        <w:tc>
          <w:tcPr>
            <w:vMerge w:val="continue"/>
          </w:tcPr>
          <w:p/>
        </w:tc>
        <w:tc>
          <w:tcPr>
            <w:vMerge w:val="continue"/>
          </w:tcPr>
          <w:p/>
        </w:tc>
        <w:tc>
          <w:tcPr>
            <w:tcW w:w="2111" w:type="dxa"/>
            <w:vAlign w:val="center"/>
          </w:tcPr>
          <w:p>
            <w:pPr>
              <w:pStyle w:val="0"/>
            </w:pPr>
            <w:r>
              <w:rPr>
                <w:sz w:val="20"/>
              </w:rPr>
              <w:t xml:space="preserve">От 0,5 до 1 включительно</w:t>
            </w:r>
          </w:p>
        </w:tc>
        <w:tc>
          <w:tcPr>
            <w:tcW w:w="1442" w:type="dxa"/>
            <w:vAlign w:val="center"/>
          </w:tcPr>
          <w:p>
            <w:pPr>
              <w:pStyle w:val="0"/>
              <w:jc w:val="center"/>
            </w:pPr>
            <w:r>
              <w:rPr>
                <w:sz w:val="20"/>
              </w:rPr>
              <w:t xml:space="preserve">3</w:t>
            </w:r>
          </w:p>
        </w:tc>
        <w:tc>
          <w:tcPr>
            <w:tcW w:w="1503" w:type="dxa"/>
            <w:vAlign w:val="center"/>
          </w:tcPr>
          <w:p>
            <w:pPr>
              <w:pStyle w:val="0"/>
              <w:jc w:val="center"/>
            </w:pPr>
            <w:r>
              <w:rPr>
                <w:sz w:val="20"/>
              </w:rPr>
              <w:t xml:space="preserve">2</w:t>
            </w:r>
          </w:p>
        </w:tc>
        <w:tc>
          <w:tcPr>
            <w:tcW w:w="1417" w:type="dxa"/>
            <w:vAlign w:val="center"/>
          </w:tcPr>
          <w:p>
            <w:pPr>
              <w:pStyle w:val="0"/>
              <w:jc w:val="center"/>
            </w:pPr>
            <w:r>
              <w:rPr>
                <w:sz w:val="20"/>
              </w:rPr>
              <w:t xml:space="preserve">2</w:t>
            </w:r>
          </w:p>
        </w:tc>
      </w:tr>
      <w:tr>
        <w:tc>
          <w:tcPr>
            <w:vMerge w:val="continue"/>
          </w:tcPr>
          <w:p/>
        </w:tc>
        <w:tc>
          <w:tcPr>
            <w:vMerge w:val="continue"/>
          </w:tcPr>
          <w:p/>
        </w:tc>
        <w:tc>
          <w:tcPr>
            <w:tcW w:w="2111" w:type="dxa"/>
            <w:vAlign w:val="center"/>
          </w:tcPr>
          <w:p>
            <w:pPr>
              <w:pStyle w:val="0"/>
            </w:pPr>
            <w:r>
              <w:rPr>
                <w:sz w:val="20"/>
              </w:rPr>
              <w:t xml:space="preserve">От 0,25 до 0,5 включительно</w:t>
            </w:r>
          </w:p>
        </w:tc>
        <w:tc>
          <w:tcPr>
            <w:tcW w:w="1442" w:type="dxa"/>
            <w:vAlign w:val="center"/>
          </w:tcPr>
          <w:p>
            <w:pPr>
              <w:pStyle w:val="0"/>
              <w:jc w:val="center"/>
            </w:pPr>
            <w:r>
              <w:rPr>
                <w:sz w:val="20"/>
              </w:rPr>
              <w:t xml:space="preserve">2</w:t>
            </w:r>
          </w:p>
        </w:tc>
        <w:tc>
          <w:tcPr>
            <w:tcW w:w="1503" w:type="dxa"/>
            <w:vAlign w:val="center"/>
          </w:tcPr>
          <w:p>
            <w:pPr>
              <w:pStyle w:val="0"/>
              <w:jc w:val="center"/>
            </w:pPr>
            <w:r>
              <w:rPr>
                <w:sz w:val="20"/>
              </w:rPr>
              <w:t xml:space="preserve">1</w:t>
            </w:r>
          </w:p>
        </w:tc>
        <w:tc>
          <w:tcPr>
            <w:tcW w:w="1417" w:type="dxa"/>
            <w:vAlign w:val="center"/>
          </w:tcPr>
          <w:p>
            <w:pPr>
              <w:pStyle w:val="0"/>
              <w:jc w:val="center"/>
            </w:pPr>
            <w:r>
              <w:rPr>
                <w:sz w:val="20"/>
              </w:rPr>
              <w:t xml:space="preserve">1</w:t>
            </w:r>
          </w:p>
        </w:tc>
      </w:tr>
      <w:tr>
        <w:tc>
          <w:tcPr>
            <w:vMerge w:val="continue"/>
          </w:tcPr>
          <w:p/>
        </w:tc>
        <w:tc>
          <w:tcPr>
            <w:vMerge w:val="continue"/>
          </w:tcPr>
          <w:p/>
        </w:tc>
        <w:tc>
          <w:tcPr>
            <w:tcW w:w="2111" w:type="dxa"/>
            <w:vAlign w:val="center"/>
          </w:tcPr>
          <w:p>
            <w:pPr>
              <w:pStyle w:val="0"/>
            </w:pPr>
            <w:r>
              <w:rPr>
                <w:sz w:val="20"/>
              </w:rPr>
              <w:t xml:space="preserve">Менее 0,25</w:t>
            </w:r>
          </w:p>
        </w:tc>
        <w:tc>
          <w:tcPr>
            <w:tcW w:w="1442" w:type="dxa"/>
            <w:vAlign w:val="center"/>
          </w:tcPr>
          <w:p>
            <w:pPr>
              <w:pStyle w:val="0"/>
              <w:jc w:val="center"/>
            </w:pPr>
            <w:r>
              <w:rPr>
                <w:sz w:val="20"/>
              </w:rPr>
              <w:t xml:space="preserve">0</w:t>
            </w:r>
          </w:p>
        </w:tc>
        <w:tc>
          <w:tcPr>
            <w:tcW w:w="1503" w:type="dxa"/>
            <w:vAlign w:val="center"/>
          </w:tcPr>
          <w:p>
            <w:pPr>
              <w:pStyle w:val="0"/>
              <w:jc w:val="center"/>
            </w:pPr>
            <w:r>
              <w:rPr>
                <w:sz w:val="20"/>
              </w:rPr>
              <w:t xml:space="preserve">0</w:t>
            </w:r>
          </w:p>
        </w:tc>
        <w:tc>
          <w:tcPr>
            <w:tcW w:w="1417" w:type="dxa"/>
            <w:vAlign w:val="center"/>
          </w:tcPr>
          <w:p>
            <w:pPr>
              <w:pStyle w:val="0"/>
              <w:jc w:val="center"/>
            </w:pPr>
            <w:r>
              <w:rPr>
                <w:sz w:val="20"/>
              </w:rPr>
              <w:t xml:space="preserve">0</w:t>
            </w:r>
          </w:p>
        </w:tc>
      </w:tr>
      <w:tr>
        <w:tc>
          <w:tcPr>
            <w:tcW w:w="604" w:type="dxa"/>
            <w:vMerge w:val="restart"/>
          </w:tcPr>
          <w:p>
            <w:pPr>
              <w:pStyle w:val="0"/>
              <w:jc w:val="center"/>
            </w:pPr>
            <w:r>
              <w:rPr>
                <w:sz w:val="20"/>
              </w:rPr>
              <w:t xml:space="preserve">1.3</w:t>
            </w:r>
          </w:p>
        </w:tc>
        <w:tc>
          <w:tcPr>
            <w:tcW w:w="3061" w:type="dxa"/>
            <w:vMerge w:val="restart"/>
          </w:tcPr>
          <w:p>
            <w:pPr>
              <w:pStyle w:val="0"/>
            </w:pPr>
            <w:r>
              <w:rPr>
                <w:sz w:val="20"/>
              </w:rPr>
              <w:t xml:space="preserve">Превышение рентабельности продаж субъекта малого и среднего предпринимательства над соответствующей основному виду деятельности среднеотраслевой рентабельностью продаж за год, предшествующий участию в отборе, % </w:t>
            </w:r>
            <w:hyperlink w:history="0" w:anchor="P1338" w:tooltip="&lt;3&gt; Источник данных: ФНС России.">
              <w:r>
                <w:rPr>
                  <w:sz w:val="20"/>
                  <w:color w:val="0000ff"/>
                </w:rPr>
                <w:t xml:space="preserve">&lt;3&gt;</w:t>
              </w:r>
            </w:hyperlink>
          </w:p>
        </w:tc>
        <w:tc>
          <w:tcPr>
            <w:tcW w:w="2111" w:type="dxa"/>
            <w:vAlign w:val="center"/>
          </w:tcPr>
          <w:p>
            <w:pPr>
              <w:pStyle w:val="0"/>
            </w:pPr>
            <w:r>
              <w:rPr>
                <w:sz w:val="20"/>
              </w:rPr>
              <w:t xml:space="preserve">Превышение более чем на 10%</w:t>
            </w:r>
          </w:p>
        </w:tc>
        <w:tc>
          <w:tcPr>
            <w:tcW w:w="1442" w:type="dxa"/>
            <w:vAlign w:val="center"/>
          </w:tcPr>
          <w:p>
            <w:pPr>
              <w:pStyle w:val="0"/>
              <w:jc w:val="center"/>
            </w:pPr>
            <w:r>
              <w:rPr>
                <w:sz w:val="20"/>
              </w:rPr>
              <w:t xml:space="preserve">Не оценивается</w:t>
            </w:r>
          </w:p>
        </w:tc>
        <w:tc>
          <w:tcPr>
            <w:tcW w:w="1503" w:type="dxa"/>
            <w:vAlign w:val="center"/>
          </w:tcPr>
          <w:p>
            <w:pPr>
              <w:pStyle w:val="0"/>
              <w:jc w:val="center"/>
            </w:pPr>
            <w:r>
              <w:rPr>
                <w:sz w:val="20"/>
              </w:rPr>
              <w:t xml:space="preserve">5</w:t>
            </w:r>
          </w:p>
        </w:tc>
        <w:tc>
          <w:tcPr>
            <w:tcW w:w="1417" w:type="dxa"/>
            <w:vAlign w:val="center"/>
          </w:tcPr>
          <w:p>
            <w:pPr>
              <w:pStyle w:val="0"/>
              <w:jc w:val="center"/>
            </w:pPr>
            <w:r>
              <w:rPr>
                <w:sz w:val="20"/>
              </w:rPr>
              <w:t xml:space="preserve">5</w:t>
            </w:r>
          </w:p>
        </w:tc>
      </w:tr>
      <w:tr>
        <w:tc>
          <w:tcPr>
            <w:vMerge w:val="continue"/>
          </w:tcPr>
          <w:p/>
        </w:tc>
        <w:tc>
          <w:tcPr>
            <w:vMerge w:val="continue"/>
          </w:tcPr>
          <w:p/>
        </w:tc>
        <w:tc>
          <w:tcPr>
            <w:tcW w:w="2111" w:type="dxa"/>
            <w:vAlign w:val="center"/>
          </w:tcPr>
          <w:p>
            <w:pPr>
              <w:pStyle w:val="0"/>
            </w:pPr>
            <w:r>
              <w:rPr>
                <w:sz w:val="20"/>
              </w:rPr>
              <w:t xml:space="preserve">Превышение на 5% - 9%</w:t>
            </w:r>
          </w:p>
        </w:tc>
        <w:tc>
          <w:tcPr>
            <w:tcW w:w="1442" w:type="dxa"/>
            <w:vAlign w:val="center"/>
          </w:tcPr>
          <w:p>
            <w:pPr>
              <w:pStyle w:val="0"/>
              <w:jc w:val="center"/>
            </w:pPr>
            <w:r>
              <w:rPr>
                <w:sz w:val="20"/>
              </w:rPr>
              <w:t xml:space="preserve">Не оценивается</w:t>
            </w:r>
          </w:p>
        </w:tc>
        <w:tc>
          <w:tcPr>
            <w:tcW w:w="1503" w:type="dxa"/>
            <w:vAlign w:val="center"/>
          </w:tcPr>
          <w:p>
            <w:pPr>
              <w:pStyle w:val="0"/>
              <w:jc w:val="center"/>
            </w:pPr>
            <w:r>
              <w:rPr>
                <w:sz w:val="20"/>
              </w:rPr>
              <w:t xml:space="preserve">3</w:t>
            </w:r>
          </w:p>
        </w:tc>
        <w:tc>
          <w:tcPr>
            <w:tcW w:w="1417" w:type="dxa"/>
            <w:vAlign w:val="center"/>
          </w:tcPr>
          <w:p>
            <w:pPr>
              <w:pStyle w:val="0"/>
              <w:jc w:val="center"/>
            </w:pPr>
            <w:r>
              <w:rPr>
                <w:sz w:val="20"/>
              </w:rPr>
              <w:t xml:space="preserve">3</w:t>
            </w:r>
          </w:p>
        </w:tc>
      </w:tr>
      <w:tr>
        <w:tc>
          <w:tcPr>
            <w:vMerge w:val="continue"/>
          </w:tcPr>
          <w:p/>
        </w:tc>
        <w:tc>
          <w:tcPr>
            <w:vMerge w:val="continue"/>
          </w:tcPr>
          <w:p/>
        </w:tc>
        <w:tc>
          <w:tcPr>
            <w:tcW w:w="2111" w:type="dxa"/>
            <w:vAlign w:val="center"/>
          </w:tcPr>
          <w:p>
            <w:pPr>
              <w:pStyle w:val="0"/>
            </w:pPr>
            <w:r>
              <w:rPr>
                <w:sz w:val="20"/>
              </w:rPr>
              <w:t xml:space="preserve">Превышение на 1% - 4%</w:t>
            </w:r>
          </w:p>
        </w:tc>
        <w:tc>
          <w:tcPr>
            <w:tcW w:w="1442" w:type="dxa"/>
            <w:vAlign w:val="center"/>
          </w:tcPr>
          <w:p>
            <w:pPr>
              <w:pStyle w:val="0"/>
              <w:jc w:val="center"/>
            </w:pPr>
            <w:r>
              <w:rPr>
                <w:sz w:val="20"/>
              </w:rPr>
              <w:t xml:space="preserve">Не оценивается</w:t>
            </w:r>
          </w:p>
        </w:tc>
        <w:tc>
          <w:tcPr>
            <w:tcW w:w="1503" w:type="dxa"/>
            <w:vAlign w:val="center"/>
          </w:tcPr>
          <w:p>
            <w:pPr>
              <w:pStyle w:val="0"/>
              <w:jc w:val="center"/>
            </w:pPr>
            <w:r>
              <w:rPr>
                <w:sz w:val="20"/>
              </w:rPr>
              <w:t xml:space="preserve">1</w:t>
            </w:r>
          </w:p>
        </w:tc>
        <w:tc>
          <w:tcPr>
            <w:tcW w:w="1417" w:type="dxa"/>
            <w:vAlign w:val="center"/>
          </w:tcPr>
          <w:p>
            <w:pPr>
              <w:pStyle w:val="0"/>
              <w:jc w:val="center"/>
            </w:pPr>
            <w:r>
              <w:rPr>
                <w:sz w:val="20"/>
              </w:rPr>
              <w:t xml:space="preserve">1</w:t>
            </w:r>
          </w:p>
        </w:tc>
      </w:tr>
      <w:tr>
        <w:tc>
          <w:tcPr>
            <w:vMerge w:val="continue"/>
          </w:tcPr>
          <w:p/>
        </w:tc>
        <w:tc>
          <w:tcPr>
            <w:vMerge w:val="continue"/>
          </w:tcPr>
          <w:p/>
        </w:tc>
        <w:tc>
          <w:tcPr>
            <w:tcW w:w="2111" w:type="dxa"/>
            <w:vAlign w:val="center"/>
          </w:tcPr>
          <w:p>
            <w:pPr>
              <w:pStyle w:val="0"/>
            </w:pPr>
            <w:r>
              <w:rPr>
                <w:sz w:val="20"/>
              </w:rPr>
              <w:t xml:space="preserve">Превышение отсутствует</w:t>
            </w:r>
          </w:p>
        </w:tc>
        <w:tc>
          <w:tcPr>
            <w:tcW w:w="1442" w:type="dxa"/>
            <w:vAlign w:val="center"/>
          </w:tcPr>
          <w:p>
            <w:pPr>
              <w:pStyle w:val="0"/>
              <w:jc w:val="center"/>
            </w:pPr>
            <w:r>
              <w:rPr>
                <w:sz w:val="20"/>
              </w:rPr>
              <w:t xml:space="preserve">Не оценивается</w:t>
            </w:r>
          </w:p>
        </w:tc>
        <w:tc>
          <w:tcPr>
            <w:tcW w:w="1503" w:type="dxa"/>
            <w:vAlign w:val="center"/>
          </w:tcPr>
          <w:p>
            <w:pPr>
              <w:pStyle w:val="0"/>
              <w:jc w:val="center"/>
            </w:pPr>
            <w:r>
              <w:rPr>
                <w:sz w:val="20"/>
              </w:rPr>
              <w:t xml:space="preserve">0</w:t>
            </w:r>
          </w:p>
        </w:tc>
        <w:tc>
          <w:tcPr>
            <w:tcW w:w="1417" w:type="dxa"/>
            <w:vAlign w:val="center"/>
          </w:tcPr>
          <w:p>
            <w:pPr>
              <w:pStyle w:val="0"/>
              <w:jc w:val="center"/>
            </w:pPr>
            <w:r>
              <w:rPr>
                <w:sz w:val="20"/>
              </w:rPr>
              <w:t xml:space="preserve">0</w:t>
            </w:r>
          </w:p>
        </w:tc>
      </w:tr>
      <w:tr>
        <w:tc>
          <w:tcPr>
            <w:gridSpan w:val="6"/>
            <w:tcW w:w="10138" w:type="dxa"/>
            <w:vAlign w:val="center"/>
          </w:tcPr>
          <w:p>
            <w:pPr>
              <w:pStyle w:val="0"/>
              <w:outlineLvl w:val="2"/>
              <w:jc w:val="center"/>
            </w:pPr>
            <w:r>
              <w:rPr>
                <w:sz w:val="20"/>
              </w:rPr>
              <w:t xml:space="preserve">Раздел II. Критерии оценки показателей бизнес-проекта (инвестиционного проекта)</w:t>
            </w:r>
          </w:p>
        </w:tc>
      </w:tr>
      <w:tr>
        <w:tc>
          <w:tcPr>
            <w:tcW w:w="604" w:type="dxa"/>
            <w:vMerge w:val="restart"/>
          </w:tcPr>
          <w:p>
            <w:pPr>
              <w:pStyle w:val="0"/>
              <w:jc w:val="center"/>
            </w:pPr>
            <w:r>
              <w:rPr>
                <w:sz w:val="20"/>
              </w:rPr>
              <w:t xml:space="preserve">2.1</w:t>
            </w:r>
          </w:p>
        </w:tc>
        <w:tc>
          <w:tcPr>
            <w:tcW w:w="3061" w:type="dxa"/>
            <w:vMerge w:val="restart"/>
          </w:tcPr>
          <w:p>
            <w:pPr>
              <w:pStyle w:val="0"/>
            </w:pPr>
            <w:r>
              <w:rPr>
                <w:sz w:val="20"/>
              </w:rPr>
              <w:t xml:space="preserve">Доля объема инвестиций в основной капитал в общей стоимости бизнес-проекта (инвестиционного проекта)</w:t>
            </w:r>
          </w:p>
        </w:tc>
        <w:tc>
          <w:tcPr>
            <w:tcW w:w="2111" w:type="dxa"/>
            <w:vAlign w:val="center"/>
          </w:tcPr>
          <w:p>
            <w:pPr>
              <w:pStyle w:val="0"/>
            </w:pPr>
            <w:r>
              <w:rPr>
                <w:sz w:val="20"/>
              </w:rPr>
              <w:t xml:space="preserve">Более 50%</w:t>
            </w:r>
          </w:p>
        </w:tc>
        <w:tc>
          <w:tcPr>
            <w:tcW w:w="1442" w:type="dxa"/>
            <w:vAlign w:val="center"/>
          </w:tcPr>
          <w:p>
            <w:pPr>
              <w:pStyle w:val="0"/>
              <w:jc w:val="center"/>
            </w:pPr>
            <w:r>
              <w:rPr>
                <w:sz w:val="20"/>
              </w:rPr>
              <w:t xml:space="preserve">5</w:t>
            </w:r>
          </w:p>
        </w:tc>
        <w:tc>
          <w:tcPr>
            <w:tcW w:w="1503" w:type="dxa"/>
            <w:vAlign w:val="center"/>
          </w:tcPr>
          <w:p>
            <w:pPr>
              <w:pStyle w:val="0"/>
              <w:jc w:val="center"/>
            </w:pPr>
            <w:r>
              <w:rPr>
                <w:sz w:val="20"/>
              </w:rPr>
              <w:t xml:space="preserve">5</w:t>
            </w:r>
          </w:p>
        </w:tc>
        <w:tc>
          <w:tcPr>
            <w:tcW w:w="1417" w:type="dxa"/>
            <w:vAlign w:val="center"/>
          </w:tcPr>
          <w:p>
            <w:pPr>
              <w:pStyle w:val="0"/>
              <w:jc w:val="center"/>
            </w:pPr>
            <w:r>
              <w:rPr>
                <w:sz w:val="20"/>
              </w:rPr>
              <w:t xml:space="preserve">5</w:t>
            </w:r>
          </w:p>
        </w:tc>
      </w:tr>
      <w:tr>
        <w:tc>
          <w:tcPr>
            <w:vMerge w:val="continue"/>
          </w:tcPr>
          <w:p/>
        </w:tc>
        <w:tc>
          <w:tcPr>
            <w:vMerge w:val="continue"/>
          </w:tcPr>
          <w:p/>
        </w:tc>
        <w:tc>
          <w:tcPr>
            <w:tcW w:w="2111" w:type="dxa"/>
            <w:vAlign w:val="center"/>
          </w:tcPr>
          <w:p>
            <w:pPr>
              <w:pStyle w:val="0"/>
            </w:pPr>
            <w:r>
              <w:rPr>
                <w:sz w:val="20"/>
              </w:rPr>
              <w:t xml:space="preserve">От 30% до 50% включительно</w:t>
            </w:r>
          </w:p>
        </w:tc>
        <w:tc>
          <w:tcPr>
            <w:tcW w:w="1442" w:type="dxa"/>
            <w:vAlign w:val="center"/>
          </w:tcPr>
          <w:p>
            <w:pPr>
              <w:pStyle w:val="0"/>
              <w:jc w:val="center"/>
            </w:pPr>
            <w:r>
              <w:rPr>
                <w:sz w:val="20"/>
              </w:rPr>
              <w:t xml:space="preserve">3</w:t>
            </w:r>
          </w:p>
        </w:tc>
        <w:tc>
          <w:tcPr>
            <w:tcW w:w="1503" w:type="dxa"/>
            <w:vAlign w:val="center"/>
          </w:tcPr>
          <w:p>
            <w:pPr>
              <w:pStyle w:val="0"/>
              <w:jc w:val="center"/>
            </w:pPr>
            <w:r>
              <w:rPr>
                <w:sz w:val="20"/>
              </w:rPr>
              <w:t xml:space="preserve">3</w:t>
            </w:r>
          </w:p>
        </w:tc>
        <w:tc>
          <w:tcPr>
            <w:tcW w:w="1417" w:type="dxa"/>
            <w:vAlign w:val="center"/>
          </w:tcPr>
          <w:p>
            <w:pPr>
              <w:pStyle w:val="0"/>
              <w:jc w:val="center"/>
            </w:pPr>
            <w:r>
              <w:rPr>
                <w:sz w:val="20"/>
              </w:rPr>
              <w:t xml:space="preserve">3</w:t>
            </w:r>
          </w:p>
        </w:tc>
      </w:tr>
      <w:tr>
        <w:tc>
          <w:tcPr>
            <w:vMerge w:val="continue"/>
          </w:tcPr>
          <w:p/>
        </w:tc>
        <w:tc>
          <w:tcPr>
            <w:vMerge w:val="continue"/>
          </w:tcPr>
          <w:p/>
        </w:tc>
        <w:tc>
          <w:tcPr>
            <w:tcW w:w="2111" w:type="dxa"/>
            <w:vAlign w:val="center"/>
          </w:tcPr>
          <w:p>
            <w:pPr>
              <w:pStyle w:val="0"/>
            </w:pPr>
            <w:r>
              <w:rPr>
                <w:sz w:val="20"/>
              </w:rPr>
              <w:t xml:space="preserve">Менее 30%</w:t>
            </w:r>
          </w:p>
        </w:tc>
        <w:tc>
          <w:tcPr>
            <w:tcW w:w="1442" w:type="dxa"/>
            <w:vAlign w:val="center"/>
          </w:tcPr>
          <w:p>
            <w:pPr>
              <w:pStyle w:val="0"/>
              <w:jc w:val="center"/>
            </w:pPr>
            <w:r>
              <w:rPr>
                <w:sz w:val="20"/>
              </w:rPr>
              <w:t xml:space="preserve">1</w:t>
            </w:r>
          </w:p>
        </w:tc>
        <w:tc>
          <w:tcPr>
            <w:tcW w:w="1503" w:type="dxa"/>
            <w:vAlign w:val="center"/>
          </w:tcPr>
          <w:p>
            <w:pPr>
              <w:pStyle w:val="0"/>
              <w:jc w:val="center"/>
            </w:pPr>
            <w:r>
              <w:rPr>
                <w:sz w:val="20"/>
              </w:rPr>
              <w:t xml:space="preserve">1</w:t>
            </w:r>
          </w:p>
        </w:tc>
        <w:tc>
          <w:tcPr>
            <w:tcW w:w="1417" w:type="dxa"/>
            <w:vAlign w:val="center"/>
          </w:tcPr>
          <w:p>
            <w:pPr>
              <w:pStyle w:val="0"/>
              <w:jc w:val="center"/>
            </w:pPr>
            <w:r>
              <w:rPr>
                <w:sz w:val="20"/>
              </w:rPr>
              <w:t xml:space="preserve">1</w:t>
            </w:r>
          </w:p>
        </w:tc>
      </w:tr>
      <w:tr>
        <w:tc>
          <w:tcPr>
            <w:vMerge w:val="continue"/>
          </w:tcPr>
          <w:p/>
        </w:tc>
        <w:tc>
          <w:tcPr>
            <w:vMerge w:val="continue"/>
          </w:tcPr>
          <w:p/>
        </w:tc>
        <w:tc>
          <w:tcPr>
            <w:tcW w:w="2111" w:type="dxa"/>
            <w:vAlign w:val="center"/>
          </w:tcPr>
          <w:p>
            <w:pPr>
              <w:pStyle w:val="0"/>
            </w:pPr>
            <w:r>
              <w:rPr>
                <w:sz w:val="20"/>
              </w:rPr>
              <w:t xml:space="preserve">Общая стоимость бизнес-проекта (инвестиционного проекта) не учитывает потребности в дополнительном оборотном капитале</w:t>
            </w:r>
          </w:p>
        </w:tc>
        <w:tc>
          <w:tcPr>
            <w:tcW w:w="1442" w:type="dxa"/>
            <w:vAlign w:val="center"/>
          </w:tcPr>
          <w:p>
            <w:pPr>
              <w:pStyle w:val="0"/>
              <w:jc w:val="center"/>
            </w:pPr>
            <w:r>
              <w:rPr>
                <w:sz w:val="20"/>
              </w:rPr>
              <w:t xml:space="preserve">0</w:t>
            </w:r>
          </w:p>
        </w:tc>
        <w:tc>
          <w:tcPr>
            <w:tcW w:w="1503" w:type="dxa"/>
            <w:vAlign w:val="center"/>
          </w:tcPr>
          <w:p>
            <w:pPr>
              <w:pStyle w:val="0"/>
              <w:jc w:val="center"/>
            </w:pPr>
            <w:r>
              <w:rPr>
                <w:sz w:val="20"/>
              </w:rPr>
              <w:t xml:space="preserve">0</w:t>
            </w:r>
          </w:p>
        </w:tc>
        <w:tc>
          <w:tcPr>
            <w:tcW w:w="1417" w:type="dxa"/>
            <w:vAlign w:val="center"/>
          </w:tcPr>
          <w:p>
            <w:pPr>
              <w:pStyle w:val="0"/>
              <w:jc w:val="center"/>
            </w:pPr>
            <w:r>
              <w:rPr>
                <w:sz w:val="20"/>
              </w:rPr>
              <w:t xml:space="preserve">0</w:t>
            </w:r>
          </w:p>
        </w:tc>
      </w:tr>
      <w:tr>
        <w:tc>
          <w:tcPr>
            <w:tcW w:w="604" w:type="dxa"/>
            <w:vMerge w:val="restart"/>
          </w:tcPr>
          <w:p>
            <w:pPr>
              <w:pStyle w:val="0"/>
              <w:jc w:val="center"/>
            </w:pPr>
            <w:r>
              <w:rPr>
                <w:sz w:val="20"/>
              </w:rPr>
              <w:t xml:space="preserve">2.2</w:t>
            </w:r>
          </w:p>
        </w:tc>
        <w:tc>
          <w:tcPr>
            <w:tcW w:w="3061" w:type="dxa"/>
            <w:vMerge w:val="restart"/>
          </w:tcPr>
          <w:p>
            <w:pPr>
              <w:pStyle w:val="0"/>
            </w:pPr>
            <w:r>
              <w:rPr>
                <w:sz w:val="20"/>
              </w:rPr>
              <w:t xml:space="preserve">Доля собственных средств (в том числе объем привлеченных займов, кредитов) в общей стоимости бизнес-проекта (инвестиционного проекта)</w:t>
            </w:r>
          </w:p>
        </w:tc>
        <w:tc>
          <w:tcPr>
            <w:tcW w:w="2111" w:type="dxa"/>
            <w:vAlign w:val="center"/>
          </w:tcPr>
          <w:p>
            <w:pPr>
              <w:pStyle w:val="0"/>
            </w:pPr>
            <w:r>
              <w:rPr>
                <w:sz w:val="20"/>
              </w:rPr>
              <w:t xml:space="preserve">Более 35%</w:t>
            </w:r>
          </w:p>
        </w:tc>
        <w:tc>
          <w:tcPr>
            <w:tcW w:w="1442" w:type="dxa"/>
            <w:vAlign w:val="center"/>
          </w:tcPr>
          <w:p>
            <w:pPr>
              <w:pStyle w:val="0"/>
              <w:jc w:val="center"/>
            </w:pPr>
            <w:r>
              <w:rPr>
                <w:sz w:val="20"/>
              </w:rPr>
              <w:t xml:space="preserve">5</w:t>
            </w:r>
          </w:p>
        </w:tc>
        <w:tc>
          <w:tcPr>
            <w:tcW w:w="1503" w:type="dxa"/>
            <w:vAlign w:val="center"/>
          </w:tcPr>
          <w:p>
            <w:pPr>
              <w:pStyle w:val="0"/>
              <w:jc w:val="center"/>
            </w:pPr>
            <w:r>
              <w:rPr>
                <w:sz w:val="20"/>
              </w:rPr>
              <w:t xml:space="preserve">2</w:t>
            </w:r>
          </w:p>
        </w:tc>
        <w:tc>
          <w:tcPr>
            <w:tcW w:w="1417" w:type="dxa"/>
            <w:vAlign w:val="center"/>
          </w:tcPr>
          <w:p>
            <w:pPr>
              <w:pStyle w:val="0"/>
              <w:jc w:val="center"/>
            </w:pPr>
            <w:r>
              <w:rPr>
                <w:sz w:val="20"/>
              </w:rPr>
              <w:t xml:space="preserve">2</w:t>
            </w:r>
          </w:p>
        </w:tc>
      </w:tr>
      <w:tr>
        <w:tc>
          <w:tcPr>
            <w:vMerge w:val="continue"/>
          </w:tcPr>
          <w:p/>
        </w:tc>
        <w:tc>
          <w:tcPr>
            <w:vMerge w:val="continue"/>
          </w:tcPr>
          <w:p/>
        </w:tc>
        <w:tc>
          <w:tcPr>
            <w:tcW w:w="2111" w:type="dxa"/>
            <w:vAlign w:val="center"/>
          </w:tcPr>
          <w:p>
            <w:pPr>
              <w:pStyle w:val="0"/>
            </w:pPr>
            <w:r>
              <w:rPr>
                <w:sz w:val="20"/>
              </w:rPr>
              <w:t xml:space="preserve">От 15% до 35% включительно</w:t>
            </w:r>
          </w:p>
        </w:tc>
        <w:tc>
          <w:tcPr>
            <w:tcW w:w="1442" w:type="dxa"/>
            <w:vAlign w:val="center"/>
          </w:tcPr>
          <w:p>
            <w:pPr>
              <w:pStyle w:val="0"/>
              <w:jc w:val="center"/>
            </w:pPr>
            <w:r>
              <w:rPr>
                <w:sz w:val="20"/>
              </w:rPr>
              <w:t xml:space="preserve">3</w:t>
            </w:r>
          </w:p>
        </w:tc>
        <w:tc>
          <w:tcPr>
            <w:tcW w:w="1503" w:type="dxa"/>
            <w:vAlign w:val="center"/>
          </w:tcPr>
          <w:p>
            <w:pPr>
              <w:pStyle w:val="0"/>
              <w:jc w:val="center"/>
            </w:pPr>
            <w:r>
              <w:rPr>
                <w:sz w:val="20"/>
              </w:rPr>
              <w:t xml:space="preserve">1</w:t>
            </w:r>
          </w:p>
        </w:tc>
        <w:tc>
          <w:tcPr>
            <w:tcW w:w="1417" w:type="dxa"/>
            <w:vAlign w:val="center"/>
          </w:tcPr>
          <w:p>
            <w:pPr>
              <w:pStyle w:val="0"/>
              <w:jc w:val="center"/>
            </w:pPr>
            <w:r>
              <w:rPr>
                <w:sz w:val="20"/>
              </w:rPr>
              <w:t xml:space="preserve">1</w:t>
            </w:r>
          </w:p>
        </w:tc>
      </w:tr>
      <w:tr>
        <w:tc>
          <w:tcPr>
            <w:vMerge w:val="continue"/>
          </w:tcPr>
          <w:p/>
        </w:tc>
        <w:tc>
          <w:tcPr>
            <w:vMerge w:val="continue"/>
          </w:tcPr>
          <w:p/>
        </w:tc>
        <w:tc>
          <w:tcPr>
            <w:tcW w:w="2111" w:type="dxa"/>
            <w:vAlign w:val="center"/>
          </w:tcPr>
          <w:p>
            <w:pPr>
              <w:pStyle w:val="0"/>
            </w:pPr>
            <w:r>
              <w:rPr>
                <w:sz w:val="20"/>
              </w:rPr>
              <w:t xml:space="preserve">Менее 15%</w:t>
            </w:r>
          </w:p>
        </w:tc>
        <w:tc>
          <w:tcPr>
            <w:tcW w:w="1442" w:type="dxa"/>
            <w:vAlign w:val="center"/>
          </w:tcPr>
          <w:p>
            <w:pPr>
              <w:pStyle w:val="0"/>
              <w:jc w:val="center"/>
            </w:pPr>
            <w:r>
              <w:rPr>
                <w:sz w:val="20"/>
              </w:rPr>
              <w:t xml:space="preserve">0</w:t>
            </w:r>
          </w:p>
        </w:tc>
        <w:tc>
          <w:tcPr>
            <w:tcW w:w="1503" w:type="dxa"/>
            <w:vAlign w:val="center"/>
          </w:tcPr>
          <w:p>
            <w:pPr>
              <w:pStyle w:val="0"/>
              <w:jc w:val="center"/>
            </w:pPr>
            <w:r>
              <w:rPr>
                <w:sz w:val="20"/>
              </w:rPr>
              <w:t xml:space="preserve">0</w:t>
            </w:r>
          </w:p>
        </w:tc>
        <w:tc>
          <w:tcPr>
            <w:tcW w:w="1417" w:type="dxa"/>
            <w:vAlign w:val="center"/>
          </w:tcPr>
          <w:p>
            <w:pPr>
              <w:pStyle w:val="0"/>
              <w:jc w:val="center"/>
            </w:pPr>
            <w:r>
              <w:rPr>
                <w:sz w:val="20"/>
              </w:rPr>
              <w:t xml:space="preserve">0</w:t>
            </w:r>
          </w:p>
        </w:tc>
      </w:tr>
      <w:tr>
        <w:tc>
          <w:tcPr>
            <w:tcW w:w="604" w:type="dxa"/>
            <w:vMerge w:val="restart"/>
          </w:tcPr>
          <w:p>
            <w:pPr>
              <w:pStyle w:val="0"/>
              <w:jc w:val="center"/>
            </w:pPr>
            <w:r>
              <w:rPr>
                <w:sz w:val="20"/>
              </w:rPr>
              <w:t xml:space="preserve">2.3</w:t>
            </w:r>
          </w:p>
        </w:tc>
        <w:tc>
          <w:tcPr>
            <w:tcW w:w="3061" w:type="dxa"/>
            <w:vMerge w:val="restart"/>
          </w:tcPr>
          <w:p>
            <w:pPr>
              <w:pStyle w:val="0"/>
            </w:pPr>
            <w:r>
              <w:rPr>
                <w:sz w:val="20"/>
              </w:rPr>
              <w:t xml:space="preserve">Доля объема фактически осуществленных инвестиций в основной капитал (произведенных капитальных затрат) в общей стоимости бизнес-проекта</w:t>
            </w:r>
          </w:p>
        </w:tc>
        <w:tc>
          <w:tcPr>
            <w:tcW w:w="2111" w:type="dxa"/>
            <w:vAlign w:val="center"/>
          </w:tcPr>
          <w:p>
            <w:pPr>
              <w:pStyle w:val="0"/>
            </w:pPr>
            <w:r>
              <w:rPr>
                <w:sz w:val="20"/>
              </w:rPr>
              <w:t xml:space="preserve">Затраты понесены в объеме 81% и более</w:t>
            </w:r>
          </w:p>
        </w:tc>
        <w:tc>
          <w:tcPr>
            <w:tcW w:w="1442" w:type="dxa"/>
            <w:vAlign w:val="center"/>
          </w:tcPr>
          <w:p>
            <w:pPr>
              <w:pStyle w:val="0"/>
              <w:jc w:val="center"/>
            </w:pPr>
            <w:r>
              <w:rPr>
                <w:sz w:val="20"/>
              </w:rPr>
              <w:t xml:space="preserve">6</w:t>
            </w:r>
          </w:p>
        </w:tc>
        <w:tc>
          <w:tcPr>
            <w:tcW w:w="1503" w:type="dxa"/>
            <w:vAlign w:val="center"/>
          </w:tcPr>
          <w:p>
            <w:pPr>
              <w:pStyle w:val="0"/>
              <w:jc w:val="center"/>
            </w:pPr>
            <w:r>
              <w:rPr>
                <w:sz w:val="20"/>
              </w:rPr>
              <w:t xml:space="preserve">5</w:t>
            </w:r>
          </w:p>
        </w:tc>
        <w:tc>
          <w:tcPr>
            <w:tcW w:w="1417" w:type="dxa"/>
            <w:vAlign w:val="center"/>
          </w:tcPr>
          <w:p>
            <w:pPr>
              <w:pStyle w:val="0"/>
              <w:jc w:val="center"/>
            </w:pPr>
            <w:r>
              <w:rPr>
                <w:sz w:val="20"/>
              </w:rPr>
              <w:t xml:space="preserve">5</w:t>
            </w:r>
          </w:p>
        </w:tc>
      </w:tr>
      <w:tr>
        <w:tc>
          <w:tcPr>
            <w:vMerge w:val="continue"/>
          </w:tcPr>
          <w:p/>
        </w:tc>
        <w:tc>
          <w:tcPr>
            <w:vMerge w:val="continue"/>
          </w:tcPr>
          <w:p/>
        </w:tc>
        <w:tc>
          <w:tcPr>
            <w:tcW w:w="2111" w:type="dxa"/>
            <w:vAlign w:val="center"/>
          </w:tcPr>
          <w:p>
            <w:pPr>
              <w:pStyle w:val="0"/>
            </w:pPr>
            <w:r>
              <w:rPr>
                <w:sz w:val="20"/>
              </w:rPr>
              <w:t xml:space="preserve">Затраты понесены в объеме от 51% до 80% включительно</w:t>
            </w:r>
          </w:p>
        </w:tc>
        <w:tc>
          <w:tcPr>
            <w:tcW w:w="1442" w:type="dxa"/>
            <w:vAlign w:val="center"/>
          </w:tcPr>
          <w:p>
            <w:pPr>
              <w:pStyle w:val="0"/>
              <w:jc w:val="center"/>
            </w:pPr>
            <w:r>
              <w:rPr>
                <w:sz w:val="20"/>
              </w:rPr>
              <w:t xml:space="preserve">4</w:t>
            </w:r>
          </w:p>
        </w:tc>
        <w:tc>
          <w:tcPr>
            <w:tcW w:w="1503" w:type="dxa"/>
            <w:vAlign w:val="center"/>
          </w:tcPr>
          <w:p>
            <w:pPr>
              <w:pStyle w:val="0"/>
              <w:jc w:val="center"/>
            </w:pPr>
            <w:r>
              <w:rPr>
                <w:sz w:val="20"/>
              </w:rPr>
              <w:t xml:space="preserve">3</w:t>
            </w:r>
          </w:p>
        </w:tc>
        <w:tc>
          <w:tcPr>
            <w:tcW w:w="1417" w:type="dxa"/>
            <w:vAlign w:val="center"/>
          </w:tcPr>
          <w:p>
            <w:pPr>
              <w:pStyle w:val="0"/>
              <w:jc w:val="center"/>
            </w:pPr>
            <w:r>
              <w:rPr>
                <w:sz w:val="20"/>
              </w:rPr>
              <w:t xml:space="preserve">3</w:t>
            </w:r>
          </w:p>
        </w:tc>
      </w:tr>
      <w:tr>
        <w:tc>
          <w:tcPr>
            <w:vMerge w:val="continue"/>
          </w:tcPr>
          <w:p/>
        </w:tc>
        <w:tc>
          <w:tcPr>
            <w:vMerge w:val="continue"/>
          </w:tcPr>
          <w:p/>
        </w:tc>
        <w:tc>
          <w:tcPr>
            <w:tcW w:w="2111" w:type="dxa"/>
            <w:vAlign w:val="center"/>
          </w:tcPr>
          <w:p>
            <w:pPr>
              <w:pStyle w:val="0"/>
            </w:pPr>
            <w:r>
              <w:rPr>
                <w:sz w:val="20"/>
              </w:rPr>
              <w:t xml:space="preserve">Затраты понесены в объеме от 20% до 50% включительно</w:t>
            </w:r>
          </w:p>
        </w:tc>
        <w:tc>
          <w:tcPr>
            <w:tcW w:w="1442" w:type="dxa"/>
            <w:vAlign w:val="center"/>
          </w:tcPr>
          <w:p>
            <w:pPr>
              <w:pStyle w:val="0"/>
              <w:jc w:val="center"/>
            </w:pPr>
            <w:r>
              <w:rPr>
                <w:sz w:val="20"/>
              </w:rPr>
              <w:t xml:space="preserve">2</w:t>
            </w:r>
          </w:p>
        </w:tc>
        <w:tc>
          <w:tcPr>
            <w:tcW w:w="1503" w:type="dxa"/>
            <w:vAlign w:val="center"/>
          </w:tcPr>
          <w:p>
            <w:pPr>
              <w:pStyle w:val="0"/>
              <w:jc w:val="center"/>
            </w:pPr>
            <w:r>
              <w:rPr>
                <w:sz w:val="20"/>
              </w:rPr>
              <w:t xml:space="preserve">1</w:t>
            </w:r>
          </w:p>
        </w:tc>
        <w:tc>
          <w:tcPr>
            <w:tcW w:w="1417" w:type="dxa"/>
            <w:vAlign w:val="center"/>
          </w:tcPr>
          <w:p>
            <w:pPr>
              <w:pStyle w:val="0"/>
              <w:jc w:val="center"/>
            </w:pPr>
            <w:r>
              <w:rPr>
                <w:sz w:val="20"/>
              </w:rPr>
              <w:t xml:space="preserve">1</w:t>
            </w:r>
          </w:p>
        </w:tc>
      </w:tr>
      <w:tr>
        <w:tc>
          <w:tcPr>
            <w:vMerge w:val="continue"/>
          </w:tcPr>
          <w:p/>
        </w:tc>
        <w:tc>
          <w:tcPr>
            <w:vMerge w:val="continue"/>
          </w:tcPr>
          <w:p/>
        </w:tc>
        <w:tc>
          <w:tcPr>
            <w:tcW w:w="2111" w:type="dxa"/>
            <w:vAlign w:val="center"/>
          </w:tcPr>
          <w:p>
            <w:pPr>
              <w:pStyle w:val="0"/>
            </w:pPr>
            <w:r>
              <w:rPr>
                <w:sz w:val="20"/>
              </w:rPr>
              <w:t xml:space="preserve">Затраты понесены в объеме менее 20%</w:t>
            </w:r>
          </w:p>
        </w:tc>
        <w:tc>
          <w:tcPr>
            <w:tcW w:w="1442" w:type="dxa"/>
            <w:vAlign w:val="center"/>
          </w:tcPr>
          <w:p>
            <w:pPr>
              <w:pStyle w:val="0"/>
              <w:jc w:val="center"/>
            </w:pPr>
            <w:r>
              <w:rPr>
                <w:sz w:val="20"/>
              </w:rPr>
              <w:t xml:space="preserve">0</w:t>
            </w:r>
          </w:p>
        </w:tc>
        <w:tc>
          <w:tcPr>
            <w:tcW w:w="1503" w:type="dxa"/>
            <w:vAlign w:val="center"/>
          </w:tcPr>
          <w:p>
            <w:pPr>
              <w:pStyle w:val="0"/>
              <w:jc w:val="center"/>
            </w:pPr>
            <w:r>
              <w:rPr>
                <w:sz w:val="20"/>
              </w:rPr>
              <w:t xml:space="preserve">0</w:t>
            </w:r>
          </w:p>
        </w:tc>
        <w:tc>
          <w:tcPr>
            <w:tcW w:w="1417" w:type="dxa"/>
            <w:vAlign w:val="center"/>
          </w:tcPr>
          <w:p>
            <w:pPr>
              <w:pStyle w:val="0"/>
              <w:jc w:val="center"/>
            </w:pPr>
            <w:r>
              <w:rPr>
                <w:sz w:val="20"/>
              </w:rPr>
              <w:t xml:space="preserve">0</w:t>
            </w:r>
          </w:p>
        </w:tc>
      </w:tr>
      <w:tr>
        <w:tc>
          <w:tcPr>
            <w:tcW w:w="604" w:type="dxa"/>
            <w:vMerge w:val="restart"/>
          </w:tcPr>
          <w:p>
            <w:pPr>
              <w:pStyle w:val="0"/>
              <w:jc w:val="center"/>
            </w:pPr>
            <w:r>
              <w:rPr>
                <w:sz w:val="20"/>
              </w:rPr>
              <w:t xml:space="preserve">2.4</w:t>
            </w:r>
          </w:p>
        </w:tc>
        <w:tc>
          <w:tcPr>
            <w:tcW w:w="3061" w:type="dxa"/>
            <w:vMerge w:val="restart"/>
          </w:tcPr>
          <w:p>
            <w:pPr>
              <w:pStyle w:val="0"/>
            </w:pPr>
            <w:r>
              <w:rPr>
                <w:sz w:val="20"/>
              </w:rPr>
              <w:t xml:space="preserve">Доля субсидии в общей стоимости бизнес-проекта (инвестиционного проекта)</w:t>
            </w:r>
          </w:p>
        </w:tc>
        <w:tc>
          <w:tcPr>
            <w:tcW w:w="2111" w:type="dxa"/>
            <w:vAlign w:val="center"/>
          </w:tcPr>
          <w:p>
            <w:pPr>
              <w:pStyle w:val="0"/>
            </w:pPr>
            <w:r>
              <w:rPr>
                <w:sz w:val="20"/>
              </w:rPr>
              <w:t xml:space="preserve">Менее 15%</w:t>
            </w:r>
          </w:p>
        </w:tc>
        <w:tc>
          <w:tcPr>
            <w:tcW w:w="1442" w:type="dxa"/>
            <w:vAlign w:val="center"/>
          </w:tcPr>
          <w:p>
            <w:pPr>
              <w:pStyle w:val="0"/>
              <w:jc w:val="center"/>
            </w:pPr>
            <w:r>
              <w:rPr>
                <w:sz w:val="20"/>
              </w:rPr>
              <w:t xml:space="preserve">5</w:t>
            </w:r>
          </w:p>
        </w:tc>
        <w:tc>
          <w:tcPr>
            <w:tcW w:w="1503" w:type="dxa"/>
            <w:vAlign w:val="center"/>
          </w:tcPr>
          <w:p>
            <w:pPr>
              <w:pStyle w:val="0"/>
              <w:jc w:val="center"/>
            </w:pPr>
            <w:r>
              <w:rPr>
                <w:sz w:val="20"/>
              </w:rPr>
              <w:t xml:space="preserve">5</w:t>
            </w:r>
          </w:p>
        </w:tc>
        <w:tc>
          <w:tcPr>
            <w:tcW w:w="1417" w:type="dxa"/>
            <w:vAlign w:val="center"/>
          </w:tcPr>
          <w:p>
            <w:pPr>
              <w:pStyle w:val="0"/>
              <w:jc w:val="center"/>
            </w:pPr>
            <w:r>
              <w:rPr>
                <w:sz w:val="20"/>
              </w:rPr>
              <w:t xml:space="preserve">5</w:t>
            </w:r>
          </w:p>
        </w:tc>
      </w:tr>
      <w:tr>
        <w:tc>
          <w:tcPr>
            <w:vMerge w:val="continue"/>
          </w:tcPr>
          <w:p/>
        </w:tc>
        <w:tc>
          <w:tcPr>
            <w:vMerge w:val="continue"/>
          </w:tcPr>
          <w:p/>
        </w:tc>
        <w:tc>
          <w:tcPr>
            <w:tcW w:w="2111" w:type="dxa"/>
            <w:vAlign w:val="center"/>
          </w:tcPr>
          <w:p>
            <w:pPr>
              <w:pStyle w:val="0"/>
            </w:pPr>
            <w:r>
              <w:rPr>
                <w:sz w:val="20"/>
              </w:rPr>
              <w:t xml:space="preserve">От 15% до 24%</w:t>
            </w:r>
          </w:p>
        </w:tc>
        <w:tc>
          <w:tcPr>
            <w:tcW w:w="1442" w:type="dxa"/>
            <w:vAlign w:val="center"/>
          </w:tcPr>
          <w:p>
            <w:pPr>
              <w:pStyle w:val="0"/>
              <w:jc w:val="center"/>
            </w:pPr>
            <w:r>
              <w:rPr>
                <w:sz w:val="20"/>
              </w:rPr>
              <w:t xml:space="preserve">3</w:t>
            </w:r>
          </w:p>
        </w:tc>
        <w:tc>
          <w:tcPr>
            <w:tcW w:w="1503" w:type="dxa"/>
            <w:vAlign w:val="center"/>
          </w:tcPr>
          <w:p>
            <w:pPr>
              <w:pStyle w:val="0"/>
              <w:jc w:val="center"/>
            </w:pPr>
            <w:r>
              <w:rPr>
                <w:sz w:val="20"/>
              </w:rPr>
              <w:t xml:space="preserve">3</w:t>
            </w:r>
          </w:p>
        </w:tc>
        <w:tc>
          <w:tcPr>
            <w:tcW w:w="1417" w:type="dxa"/>
            <w:vAlign w:val="center"/>
          </w:tcPr>
          <w:p>
            <w:pPr>
              <w:pStyle w:val="0"/>
              <w:jc w:val="center"/>
            </w:pPr>
            <w:r>
              <w:rPr>
                <w:sz w:val="20"/>
              </w:rPr>
              <w:t xml:space="preserve">3</w:t>
            </w:r>
          </w:p>
        </w:tc>
      </w:tr>
      <w:tr>
        <w:tc>
          <w:tcPr>
            <w:vMerge w:val="continue"/>
          </w:tcPr>
          <w:p/>
        </w:tc>
        <w:tc>
          <w:tcPr>
            <w:vMerge w:val="continue"/>
          </w:tcPr>
          <w:p/>
        </w:tc>
        <w:tc>
          <w:tcPr>
            <w:tcW w:w="2111" w:type="dxa"/>
            <w:vAlign w:val="center"/>
          </w:tcPr>
          <w:p>
            <w:pPr>
              <w:pStyle w:val="0"/>
            </w:pPr>
            <w:r>
              <w:rPr>
                <w:sz w:val="20"/>
              </w:rPr>
              <w:t xml:space="preserve">От 25% до 49%</w:t>
            </w:r>
          </w:p>
        </w:tc>
        <w:tc>
          <w:tcPr>
            <w:tcW w:w="1442" w:type="dxa"/>
            <w:vAlign w:val="center"/>
          </w:tcPr>
          <w:p>
            <w:pPr>
              <w:pStyle w:val="0"/>
              <w:jc w:val="center"/>
            </w:pPr>
            <w:r>
              <w:rPr>
                <w:sz w:val="20"/>
              </w:rPr>
              <w:t xml:space="preserve">1</w:t>
            </w:r>
          </w:p>
        </w:tc>
        <w:tc>
          <w:tcPr>
            <w:tcW w:w="1503" w:type="dxa"/>
            <w:vAlign w:val="center"/>
          </w:tcPr>
          <w:p>
            <w:pPr>
              <w:pStyle w:val="0"/>
              <w:jc w:val="center"/>
            </w:pPr>
            <w:r>
              <w:rPr>
                <w:sz w:val="20"/>
              </w:rPr>
              <w:t xml:space="preserve">1</w:t>
            </w:r>
          </w:p>
        </w:tc>
        <w:tc>
          <w:tcPr>
            <w:tcW w:w="1417" w:type="dxa"/>
            <w:vAlign w:val="center"/>
          </w:tcPr>
          <w:p>
            <w:pPr>
              <w:pStyle w:val="0"/>
              <w:jc w:val="center"/>
            </w:pPr>
            <w:r>
              <w:rPr>
                <w:sz w:val="20"/>
              </w:rPr>
              <w:t xml:space="preserve">1</w:t>
            </w:r>
          </w:p>
        </w:tc>
      </w:tr>
      <w:tr>
        <w:tc>
          <w:tcPr>
            <w:vMerge w:val="continue"/>
          </w:tcPr>
          <w:p/>
        </w:tc>
        <w:tc>
          <w:tcPr>
            <w:vMerge w:val="continue"/>
          </w:tcPr>
          <w:p/>
        </w:tc>
        <w:tc>
          <w:tcPr>
            <w:tcW w:w="2111" w:type="dxa"/>
            <w:vAlign w:val="center"/>
          </w:tcPr>
          <w:p>
            <w:pPr>
              <w:pStyle w:val="0"/>
            </w:pPr>
            <w:r>
              <w:rPr>
                <w:sz w:val="20"/>
              </w:rPr>
              <w:t xml:space="preserve">От 50% до 100%</w:t>
            </w:r>
          </w:p>
        </w:tc>
        <w:tc>
          <w:tcPr>
            <w:tcW w:w="1442" w:type="dxa"/>
            <w:vAlign w:val="center"/>
          </w:tcPr>
          <w:p>
            <w:pPr>
              <w:pStyle w:val="0"/>
              <w:jc w:val="center"/>
            </w:pPr>
            <w:r>
              <w:rPr>
                <w:sz w:val="20"/>
              </w:rPr>
              <w:t xml:space="preserve">0</w:t>
            </w:r>
          </w:p>
        </w:tc>
        <w:tc>
          <w:tcPr>
            <w:tcW w:w="1503" w:type="dxa"/>
            <w:vAlign w:val="center"/>
          </w:tcPr>
          <w:p>
            <w:pPr>
              <w:pStyle w:val="0"/>
              <w:jc w:val="center"/>
            </w:pPr>
            <w:r>
              <w:rPr>
                <w:sz w:val="20"/>
              </w:rPr>
              <w:t xml:space="preserve">0</w:t>
            </w:r>
          </w:p>
        </w:tc>
        <w:tc>
          <w:tcPr>
            <w:tcW w:w="1417" w:type="dxa"/>
            <w:vAlign w:val="center"/>
          </w:tcPr>
          <w:p>
            <w:pPr>
              <w:pStyle w:val="0"/>
              <w:jc w:val="center"/>
            </w:pPr>
            <w:r>
              <w:rPr>
                <w:sz w:val="20"/>
              </w:rPr>
              <w:t xml:space="preserve">0</w:t>
            </w:r>
          </w:p>
        </w:tc>
      </w:tr>
      <w:tr>
        <w:tc>
          <w:tcPr>
            <w:tcW w:w="604" w:type="dxa"/>
            <w:vMerge w:val="restart"/>
          </w:tcPr>
          <w:p>
            <w:pPr>
              <w:pStyle w:val="0"/>
              <w:jc w:val="center"/>
            </w:pPr>
            <w:r>
              <w:rPr>
                <w:sz w:val="20"/>
              </w:rPr>
              <w:t xml:space="preserve">2.5</w:t>
            </w:r>
          </w:p>
        </w:tc>
        <w:tc>
          <w:tcPr>
            <w:tcW w:w="3061" w:type="dxa"/>
            <w:vMerge w:val="restart"/>
          </w:tcPr>
          <w:p>
            <w:pPr>
              <w:pStyle w:val="0"/>
            </w:pPr>
            <w:r>
              <w:rPr>
                <w:sz w:val="20"/>
              </w:rPr>
              <w:t xml:space="preserve">Окупаемость бизнес-проекта</w:t>
            </w:r>
          </w:p>
        </w:tc>
        <w:tc>
          <w:tcPr>
            <w:tcW w:w="2111" w:type="dxa"/>
            <w:vAlign w:val="center"/>
          </w:tcPr>
          <w:p>
            <w:pPr>
              <w:pStyle w:val="0"/>
            </w:pPr>
            <w:r>
              <w:rPr>
                <w:sz w:val="20"/>
              </w:rPr>
              <w:t xml:space="preserve">Бизнес-проект (инвестиционный проект) достиг окупаемости или достигнет в ближайшие 2 года</w:t>
            </w:r>
          </w:p>
        </w:tc>
        <w:tc>
          <w:tcPr>
            <w:tcW w:w="1442" w:type="dxa"/>
            <w:vAlign w:val="center"/>
          </w:tcPr>
          <w:p>
            <w:pPr>
              <w:pStyle w:val="0"/>
              <w:jc w:val="center"/>
            </w:pPr>
            <w:r>
              <w:rPr>
                <w:sz w:val="20"/>
              </w:rPr>
              <w:t xml:space="preserve">6</w:t>
            </w:r>
          </w:p>
        </w:tc>
        <w:tc>
          <w:tcPr>
            <w:tcW w:w="1503" w:type="dxa"/>
            <w:vAlign w:val="center"/>
          </w:tcPr>
          <w:p>
            <w:pPr>
              <w:pStyle w:val="0"/>
              <w:jc w:val="center"/>
            </w:pPr>
            <w:r>
              <w:rPr>
                <w:sz w:val="20"/>
              </w:rPr>
              <w:t xml:space="preserve">4</w:t>
            </w:r>
          </w:p>
        </w:tc>
        <w:tc>
          <w:tcPr>
            <w:tcW w:w="1417" w:type="dxa"/>
            <w:vAlign w:val="center"/>
          </w:tcPr>
          <w:p>
            <w:pPr>
              <w:pStyle w:val="0"/>
              <w:jc w:val="center"/>
            </w:pPr>
            <w:r>
              <w:rPr>
                <w:sz w:val="20"/>
              </w:rPr>
              <w:t xml:space="preserve">4</w:t>
            </w:r>
          </w:p>
        </w:tc>
      </w:tr>
      <w:tr>
        <w:tc>
          <w:tcPr>
            <w:vMerge w:val="continue"/>
          </w:tcPr>
          <w:p/>
        </w:tc>
        <w:tc>
          <w:tcPr>
            <w:vMerge w:val="continue"/>
          </w:tcPr>
          <w:p/>
        </w:tc>
        <w:tc>
          <w:tcPr>
            <w:tcW w:w="2111" w:type="dxa"/>
            <w:vAlign w:val="center"/>
          </w:tcPr>
          <w:p>
            <w:pPr>
              <w:pStyle w:val="0"/>
            </w:pPr>
            <w:r>
              <w:rPr>
                <w:sz w:val="20"/>
              </w:rPr>
              <w:t xml:space="preserve">Бизнес-проект (инвестиционный проект) достигнет окупаемости в ближайшие 3 года</w:t>
            </w:r>
          </w:p>
        </w:tc>
        <w:tc>
          <w:tcPr>
            <w:tcW w:w="1442" w:type="dxa"/>
            <w:vAlign w:val="center"/>
          </w:tcPr>
          <w:p>
            <w:pPr>
              <w:pStyle w:val="0"/>
              <w:jc w:val="center"/>
            </w:pPr>
            <w:r>
              <w:rPr>
                <w:sz w:val="20"/>
              </w:rPr>
              <w:t xml:space="preserve">3</w:t>
            </w:r>
          </w:p>
        </w:tc>
        <w:tc>
          <w:tcPr>
            <w:tcW w:w="1503" w:type="dxa"/>
            <w:vAlign w:val="center"/>
          </w:tcPr>
          <w:p>
            <w:pPr>
              <w:pStyle w:val="0"/>
              <w:jc w:val="center"/>
            </w:pPr>
            <w:r>
              <w:rPr>
                <w:sz w:val="20"/>
              </w:rPr>
              <w:t xml:space="preserve">2</w:t>
            </w:r>
          </w:p>
        </w:tc>
        <w:tc>
          <w:tcPr>
            <w:tcW w:w="1417" w:type="dxa"/>
            <w:vAlign w:val="center"/>
          </w:tcPr>
          <w:p>
            <w:pPr>
              <w:pStyle w:val="0"/>
              <w:jc w:val="center"/>
            </w:pPr>
            <w:r>
              <w:rPr>
                <w:sz w:val="20"/>
              </w:rPr>
              <w:t xml:space="preserve">2</w:t>
            </w:r>
          </w:p>
        </w:tc>
      </w:tr>
      <w:tr>
        <w:tc>
          <w:tcPr>
            <w:vMerge w:val="continue"/>
          </w:tcPr>
          <w:p/>
        </w:tc>
        <w:tc>
          <w:tcPr>
            <w:vMerge w:val="continue"/>
          </w:tcPr>
          <w:p/>
        </w:tc>
        <w:tc>
          <w:tcPr>
            <w:tcW w:w="2111" w:type="dxa"/>
            <w:vAlign w:val="center"/>
          </w:tcPr>
          <w:p>
            <w:pPr>
              <w:pStyle w:val="0"/>
            </w:pPr>
            <w:r>
              <w:rPr>
                <w:sz w:val="20"/>
              </w:rPr>
              <w:t xml:space="preserve">Бизнес-проект (инвестиционный проект) достигнет окупаемости по истечении срока более 3 лет</w:t>
            </w:r>
          </w:p>
        </w:tc>
        <w:tc>
          <w:tcPr>
            <w:tcW w:w="1442" w:type="dxa"/>
            <w:vAlign w:val="center"/>
          </w:tcPr>
          <w:p>
            <w:pPr>
              <w:pStyle w:val="0"/>
              <w:jc w:val="center"/>
            </w:pPr>
            <w:r>
              <w:rPr>
                <w:sz w:val="20"/>
              </w:rPr>
              <w:t xml:space="preserve">0</w:t>
            </w:r>
          </w:p>
        </w:tc>
        <w:tc>
          <w:tcPr>
            <w:tcW w:w="1503" w:type="dxa"/>
            <w:vAlign w:val="center"/>
          </w:tcPr>
          <w:p>
            <w:pPr>
              <w:pStyle w:val="0"/>
              <w:jc w:val="center"/>
            </w:pPr>
            <w:r>
              <w:rPr>
                <w:sz w:val="20"/>
              </w:rPr>
              <w:t xml:space="preserve">0</w:t>
            </w:r>
          </w:p>
        </w:tc>
        <w:tc>
          <w:tcPr>
            <w:tcW w:w="1417" w:type="dxa"/>
            <w:vAlign w:val="center"/>
          </w:tcPr>
          <w:p>
            <w:pPr>
              <w:pStyle w:val="0"/>
              <w:jc w:val="center"/>
            </w:pPr>
            <w:r>
              <w:rPr>
                <w:sz w:val="20"/>
              </w:rPr>
              <w:t xml:space="preserve">0</w:t>
            </w:r>
          </w:p>
        </w:tc>
      </w:tr>
      <w:tr>
        <w:tc>
          <w:tcPr>
            <w:tcW w:w="604" w:type="dxa"/>
            <w:vMerge w:val="restart"/>
          </w:tcPr>
          <w:p>
            <w:pPr>
              <w:pStyle w:val="0"/>
              <w:jc w:val="center"/>
            </w:pPr>
            <w:r>
              <w:rPr>
                <w:sz w:val="20"/>
              </w:rPr>
              <w:t xml:space="preserve">2.6</w:t>
            </w:r>
          </w:p>
        </w:tc>
        <w:tc>
          <w:tcPr>
            <w:tcW w:w="3061" w:type="dxa"/>
            <w:vMerge w:val="restart"/>
          </w:tcPr>
          <w:p>
            <w:pPr>
              <w:pStyle w:val="0"/>
            </w:pPr>
            <w:r>
              <w:rPr>
                <w:sz w:val="20"/>
              </w:rPr>
              <w:t xml:space="preserve">Соотношение совокупного объема уплаченных налогов за год, предшествующий участию в отборе, к объему запрошенной субсидии</w:t>
            </w:r>
          </w:p>
        </w:tc>
        <w:tc>
          <w:tcPr>
            <w:tcW w:w="2111" w:type="dxa"/>
            <w:vAlign w:val="center"/>
          </w:tcPr>
          <w:p>
            <w:pPr>
              <w:pStyle w:val="0"/>
            </w:pPr>
            <w:r>
              <w:rPr>
                <w:sz w:val="20"/>
              </w:rPr>
              <w:t xml:space="preserve">Объем субсидии менее совокупного объема уплаченных налогов</w:t>
            </w:r>
          </w:p>
        </w:tc>
        <w:tc>
          <w:tcPr>
            <w:tcW w:w="1442" w:type="dxa"/>
            <w:vAlign w:val="center"/>
          </w:tcPr>
          <w:p>
            <w:pPr>
              <w:pStyle w:val="0"/>
              <w:jc w:val="center"/>
            </w:pPr>
            <w:r>
              <w:rPr>
                <w:sz w:val="20"/>
              </w:rPr>
              <w:t xml:space="preserve">Не оценивается</w:t>
            </w:r>
          </w:p>
        </w:tc>
        <w:tc>
          <w:tcPr>
            <w:tcW w:w="1503" w:type="dxa"/>
            <w:vAlign w:val="center"/>
          </w:tcPr>
          <w:p>
            <w:pPr>
              <w:pStyle w:val="0"/>
              <w:jc w:val="center"/>
            </w:pPr>
            <w:r>
              <w:rPr>
                <w:sz w:val="20"/>
              </w:rPr>
              <w:t xml:space="preserve">5</w:t>
            </w:r>
          </w:p>
        </w:tc>
        <w:tc>
          <w:tcPr>
            <w:tcW w:w="1417" w:type="dxa"/>
            <w:vAlign w:val="center"/>
          </w:tcPr>
          <w:p>
            <w:pPr>
              <w:pStyle w:val="0"/>
              <w:jc w:val="center"/>
            </w:pPr>
            <w:r>
              <w:rPr>
                <w:sz w:val="20"/>
              </w:rPr>
              <w:t xml:space="preserve">5</w:t>
            </w:r>
          </w:p>
        </w:tc>
      </w:tr>
      <w:tr>
        <w:tc>
          <w:tcPr>
            <w:vMerge w:val="continue"/>
          </w:tcPr>
          <w:p/>
        </w:tc>
        <w:tc>
          <w:tcPr>
            <w:vMerge w:val="continue"/>
          </w:tcPr>
          <w:p/>
        </w:tc>
        <w:tc>
          <w:tcPr>
            <w:tcW w:w="2111" w:type="dxa"/>
            <w:vAlign w:val="center"/>
          </w:tcPr>
          <w:p>
            <w:pPr>
              <w:pStyle w:val="0"/>
            </w:pPr>
            <w:r>
              <w:rPr>
                <w:sz w:val="20"/>
              </w:rPr>
              <w:t xml:space="preserve">Объем субсидии превышает совокупный объем уплаченных налогов, но не более чем в два раза</w:t>
            </w:r>
          </w:p>
        </w:tc>
        <w:tc>
          <w:tcPr>
            <w:tcW w:w="1442" w:type="dxa"/>
            <w:vAlign w:val="center"/>
          </w:tcPr>
          <w:p>
            <w:pPr>
              <w:pStyle w:val="0"/>
              <w:jc w:val="center"/>
            </w:pPr>
            <w:r>
              <w:rPr>
                <w:sz w:val="20"/>
              </w:rPr>
              <w:t xml:space="preserve">Не оценивается</w:t>
            </w:r>
          </w:p>
        </w:tc>
        <w:tc>
          <w:tcPr>
            <w:tcW w:w="1503" w:type="dxa"/>
            <w:vAlign w:val="center"/>
          </w:tcPr>
          <w:p>
            <w:pPr>
              <w:pStyle w:val="0"/>
              <w:jc w:val="center"/>
            </w:pPr>
            <w:r>
              <w:rPr>
                <w:sz w:val="20"/>
              </w:rPr>
              <w:t xml:space="preserve">3</w:t>
            </w:r>
          </w:p>
        </w:tc>
        <w:tc>
          <w:tcPr>
            <w:tcW w:w="1417" w:type="dxa"/>
            <w:vAlign w:val="center"/>
          </w:tcPr>
          <w:p>
            <w:pPr>
              <w:pStyle w:val="0"/>
              <w:jc w:val="center"/>
            </w:pPr>
            <w:r>
              <w:rPr>
                <w:sz w:val="20"/>
              </w:rPr>
              <w:t xml:space="preserve">3</w:t>
            </w:r>
          </w:p>
        </w:tc>
      </w:tr>
      <w:tr>
        <w:tc>
          <w:tcPr>
            <w:vMerge w:val="continue"/>
          </w:tcPr>
          <w:p/>
        </w:tc>
        <w:tc>
          <w:tcPr>
            <w:vMerge w:val="continue"/>
          </w:tcPr>
          <w:p/>
        </w:tc>
        <w:tc>
          <w:tcPr>
            <w:tcW w:w="2111" w:type="dxa"/>
            <w:vAlign w:val="center"/>
          </w:tcPr>
          <w:p>
            <w:pPr>
              <w:pStyle w:val="0"/>
            </w:pPr>
            <w:r>
              <w:rPr>
                <w:sz w:val="20"/>
              </w:rPr>
              <w:t xml:space="preserve">Объем субсидии превышает совокупный объем уплаченных налогов более чем в два раза</w:t>
            </w:r>
          </w:p>
        </w:tc>
        <w:tc>
          <w:tcPr>
            <w:tcW w:w="1442" w:type="dxa"/>
            <w:vAlign w:val="center"/>
          </w:tcPr>
          <w:p>
            <w:pPr>
              <w:pStyle w:val="0"/>
              <w:jc w:val="center"/>
            </w:pPr>
            <w:r>
              <w:rPr>
                <w:sz w:val="20"/>
              </w:rPr>
              <w:t xml:space="preserve">Не оценивается</w:t>
            </w:r>
          </w:p>
        </w:tc>
        <w:tc>
          <w:tcPr>
            <w:tcW w:w="1503" w:type="dxa"/>
            <w:vAlign w:val="center"/>
          </w:tcPr>
          <w:p>
            <w:pPr>
              <w:pStyle w:val="0"/>
              <w:jc w:val="center"/>
            </w:pPr>
            <w:r>
              <w:rPr>
                <w:sz w:val="20"/>
              </w:rPr>
              <w:t xml:space="preserve">0</w:t>
            </w:r>
          </w:p>
        </w:tc>
        <w:tc>
          <w:tcPr>
            <w:tcW w:w="1417" w:type="dxa"/>
            <w:vAlign w:val="center"/>
          </w:tcPr>
          <w:p>
            <w:pPr>
              <w:pStyle w:val="0"/>
              <w:jc w:val="center"/>
            </w:pPr>
            <w:r>
              <w:rPr>
                <w:sz w:val="20"/>
              </w:rPr>
              <w:t xml:space="preserve">0</w:t>
            </w:r>
          </w:p>
        </w:tc>
      </w:tr>
      <w:tr>
        <w:tc>
          <w:tcPr>
            <w:tcW w:w="604" w:type="dxa"/>
            <w:vMerge w:val="restart"/>
          </w:tcPr>
          <w:p>
            <w:pPr>
              <w:pStyle w:val="0"/>
              <w:jc w:val="center"/>
            </w:pPr>
            <w:r>
              <w:rPr>
                <w:sz w:val="20"/>
              </w:rPr>
              <w:t xml:space="preserve">2.7</w:t>
            </w:r>
          </w:p>
        </w:tc>
        <w:tc>
          <w:tcPr>
            <w:tcW w:w="3061" w:type="dxa"/>
            <w:vMerge w:val="restart"/>
          </w:tcPr>
          <w:p>
            <w:pPr>
              <w:pStyle w:val="0"/>
            </w:pPr>
            <w:r>
              <w:rPr>
                <w:sz w:val="20"/>
              </w:rPr>
              <w:t xml:space="preserve">Соотношение объема налоговых отчислений в результате деятельности субъекта малого и среднего предпринимательства к объему реализованной продукции, товаров, услуг без учета НДС, в том числе экспортированных (для индивидуальных предпринимателей - объем выручки), в году, предшествующем участию в отборе</w:t>
            </w:r>
          </w:p>
        </w:tc>
        <w:tc>
          <w:tcPr>
            <w:tcW w:w="2111" w:type="dxa"/>
            <w:vAlign w:val="center"/>
          </w:tcPr>
          <w:p>
            <w:pPr>
              <w:pStyle w:val="0"/>
            </w:pPr>
            <w:r>
              <w:rPr>
                <w:sz w:val="20"/>
              </w:rPr>
              <w:t xml:space="preserve">Более 9%</w:t>
            </w:r>
          </w:p>
        </w:tc>
        <w:tc>
          <w:tcPr>
            <w:tcW w:w="1442" w:type="dxa"/>
            <w:vAlign w:val="center"/>
          </w:tcPr>
          <w:p>
            <w:pPr>
              <w:pStyle w:val="0"/>
              <w:jc w:val="center"/>
            </w:pPr>
            <w:r>
              <w:rPr>
                <w:sz w:val="20"/>
              </w:rPr>
              <w:t xml:space="preserve">Не оценивается</w:t>
            </w:r>
          </w:p>
        </w:tc>
        <w:tc>
          <w:tcPr>
            <w:tcW w:w="1503" w:type="dxa"/>
            <w:vAlign w:val="center"/>
          </w:tcPr>
          <w:p>
            <w:pPr>
              <w:pStyle w:val="0"/>
              <w:jc w:val="center"/>
            </w:pPr>
            <w:r>
              <w:rPr>
                <w:sz w:val="20"/>
              </w:rPr>
              <w:t xml:space="preserve">4</w:t>
            </w:r>
          </w:p>
        </w:tc>
        <w:tc>
          <w:tcPr>
            <w:tcW w:w="1417" w:type="dxa"/>
            <w:vAlign w:val="center"/>
          </w:tcPr>
          <w:p>
            <w:pPr>
              <w:pStyle w:val="0"/>
              <w:jc w:val="center"/>
            </w:pPr>
            <w:r>
              <w:rPr>
                <w:sz w:val="20"/>
              </w:rPr>
              <w:t xml:space="preserve">4</w:t>
            </w:r>
          </w:p>
        </w:tc>
      </w:tr>
      <w:tr>
        <w:tc>
          <w:tcPr>
            <w:vMerge w:val="continue"/>
          </w:tcPr>
          <w:p/>
        </w:tc>
        <w:tc>
          <w:tcPr>
            <w:vMerge w:val="continue"/>
          </w:tcPr>
          <w:p/>
        </w:tc>
        <w:tc>
          <w:tcPr>
            <w:tcW w:w="2111" w:type="dxa"/>
            <w:vAlign w:val="center"/>
          </w:tcPr>
          <w:p>
            <w:pPr>
              <w:pStyle w:val="0"/>
            </w:pPr>
            <w:r>
              <w:rPr>
                <w:sz w:val="20"/>
              </w:rPr>
              <w:t xml:space="preserve">От 3% до 9% включительно</w:t>
            </w:r>
          </w:p>
        </w:tc>
        <w:tc>
          <w:tcPr>
            <w:tcW w:w="1442" w:type="dxa"/>
            <w:vAlign w:val="center"/>
          </w:tcPr>
          <w:p>
            <w:pPr>
              <w:pStyle w:val="0"/>
              <w:jc w:val="center"/>
            </w:pPr>
            <w:r>
              <w:rPr>
                <w:sz w:val="20"/>
              </w:rPr>
              <w:t xml:space="preserve">Не оценивается</w:t>
            </w:r>
          </w:p>
        </w:tc>
        <w:tc>
          <w:tcPr>
            <w:tcW w:w="1503" w:type="dxa"/>
            <w:vAlign w:val="center"/>
          </w:tcPr>
          <w:p>
            <w:pPr>
              <w:pStyle w:val="0"/>
              <w:jc w:val="center"/>
            </w:pPr>
            <w:r>
              <w:rPr>
                <w:sz w:val="20"/>
              </w:rPr>
              <w:t xml:space="preserve">2</w:t>
            </w:r>
          </w:p>
        </w:tc>
        <w:tc>
          <w:tcPr>
            <w:tcW w:w="1417" w:type="dxa"/>
            <w:vAlign w:val="center"/>
          </w:tcPr>
          <w:p>
            <w:pPr>
              <w:pStyle w:val="0"/>
              <w:jc w:val="center"/>
            </w:pPr>
            <w:r>
              <w:rPr>
                <w:sz w:val="20"/>
              </w:rPr>
              <w:t xml:space="preserve">2</w:t>
            </w:r>
          </w:p>
        </w:tc>
      </w:tr>
      <w:tr>
        <w:tc>
          <w:tcPr>
            <w:vMerge w:val="continue"/>
          </w:tcPr>
          <w:p/>
        </w:tc>
        <w:tc>
          <w:tcPr>
            <w:vMerge w:val="continue"/>
          </w:tcPr>
          <w:p/>
        </w:tc>
        <w:tc>
          <w:tcPr>
            <w:tcW w:w="2111" w:type="dxa"/>
            <w:vAlign w:val="center"/>
          </w:tcPr>
          <w:p>
            <w:pPr>
              <w:pStyle w:val="0"/>
            </w:pPr>
            <w:r>
              <w:rPr>
                <w:sz w:val="20"/>
              </w:rPr>
              <w:t xml:space="preserve">Менее 3%</w:t>
            </w:r>
          </w:p>
        </w:tc>
        <w:tc>
          <w:tcPr>
            <w:tcW w:w="1442" w:type="dxa"/>
            <w:vAlign w:val="center"/>
          </w:tcPr>
          <w:p>
            <w:pPr>
              <w:pStyle w:val="0"/>
              <w:jc w:val="center"/>
            </w:pPr>
            <w:r>
              <w:rPr>
                <w:sz w:val="20"/>
              </w:rPr>
              <w:t xml:space="preserve">Не оценивается</w:t>
            </w:r>
          </w:p>
        </w:tc>
        <w:tc>
          <w:tcPr>
            <w:tcW w:w="1503" w:type="dxa"/>
            <w:vAlign w:val="center"/>
          </w:tcPr>
          <w:p>
            <w:pPr>
              <w:pStyle w:val="0"/>
              <w:jc w:val="center"/>
            </w:pPr>
            <w:r>
              <w:rPr>
                <w:sz w:val="20"/>
              </w:rPr>
              <w:t xml:space="preserve">0</w:t>
            </w:r>
          </w:p>
        </w:tc>
        <w:tc>
          <w:tcPr>
            <w:tcW w:w="1417" w:type="dxa"/>
            <w:vAlign w:val="center"/>
          </w:tcPr>
          <w:p>
            <w:pPr>
              <w:pStyle w:val="0"/>
              <w:jc w:val="center"/>
            </w:pPr>
            <w:r>
              <w:rPr>
                <w:sz w:val="20"/>
              </w:rPr>
              <w:t xml:space="preserve">0</w:t>
            </w:r>
          </w:p>
        </w:tc>
      </w:tr>
      <w:tr>
        <w:tc>
          <w:tcPr>
            <w:tcW w:w="604" w:type="dxa"/>
            <w:vMerge w:val="restart"/>
          </w:tcPr>
          <w:p>
            <w:pPr>
              <w:pStyle w:val="0"/>
              <w:jc w:val="center"/>
            </w:pPr>
            <w:r>
              <w:rPr>
                <w:sz w:val="20"/>
              </w:rPr>
              <w:t xml:space="preserve">2.7.1</w:t>
            </w:r>
          </w:p>
        </w:tc>
        <w:tc>
          <w:tcPr>
            <w:tcW w:w="3061" w:type="dxa"/>
            <w:vMerge w:val="restart"/>
          </w:tcPr>
          <w:p>
            <w:pPr>
              <w:pStyle w:val="0"/>
            </w:pPr>
            <w:r>
              <w:rPr>
                <w:sz w:val="20"/>
              </w:rPr>
              <w:t xml:space="preserve">Соотношение ожидаемого объема налоговых отчислений в результате реализации бизнес-проекта (инвестиционного проекта) к объему реализованной продукции, товаров, услуг без учета НДС, в том числе экспортированных (для индивидуальных предпринимателей - объем выручки), в текущем календарном году (оценка)</w:t>
            </w:r>
          </w:p>
        </w:tc>
        <w:tc>
          <w:tcPr>
            <w:tcW w:w="2111" w:type="dxa"/>
            <w:vAlign w:val="center"/>
          </w:tcPr>
          <w:p>
            <w:pPr>
              <w:pStyle w:val="0"/>
            </w:pPr>
            <w:r>
              <w:rPr>
                <w:sz w:val="20"/>
              </w:rPr>
              <w:t xml:space="preserve">Более 9%</w:t>
            </w:r>
          </w:p>
        </w:tc>
        <w:tc>
          <w:tcPr>
            <w:tcW w:w="1442" w:type="dxa"/>
            <w:vAlign w:val="center"/>
          </w:tcPr>
          <w:p>
            <w:pPr>
              <w:pStyle w:val="0"/>
              <w:jc w:val="center"/>
            </w:pPr>
            <w:r>
              <w:rPr>
                <w:sz w:val="20"/>
              </w:rPr>
              <w:t xml:space="preserve">4</w:t>
            </w:r>
          </w:p>
        </w:tc>
        <w:tc>
          <w:tcPr>
            <w:tcW w:w="1503" w:type="dxa"/>
            <w:vAlign w:val="center"/>
          </w:tcPr>
          <w:p>
            <w:pPr>
              <w:pStyle w:val="0"/>
              <w:jc w:val="center"/>
            </w:pPr>
            <w:r>
              <w:rPr>
                <w:sz w:val="20"/>
              </w:rPr>
              <w:t xml:space="preserve">Не оценивается</w:t>
            </w:r>
          </w:p>
        </w:tc>
        <w:tc>
          <w:tcPr>
            <w:tcW w:w="1417" w:type="dxa"/>
            <w:vAlign w:val="center"/>
          </w:tcPr>
          <w:p>
            <w:pPr>
              <w:pStyle w:val="0"/>
              <w:jc w:val="center"/>
            </w:pPr>
            <w:r>
              <w:rPr>
                <w:sz w:val="20"/>
              </w:rPr>
              <w:t xml:space="preserve">Не оценивается</w:t>
            </w:r>
          </w:p>
        </w:tc>
      </w:tr>
      <w:tr>
        <w:tc>
          <w:tcPr>
            <w:vMerge w:val="continue"/>
          </w:tcPr>
          <w:p/>
        </w:tc>
        <w:tc>
          <w:tcPr>
            <w:vMerge w:val="continue"/>
          </w:tcPr>
          <w:p/>
        </w:tc>
        <w:tc>
          <w:tcPr>
            <w:tcW w:w="2111" w:type="dxa"/>
            <w:vAlign w:val="center"/>
          </w:tcPr>
          <w:p>
            <w:pPr>
              <w:pStyle w:val="0"/>
            </w:pPr>
            <w:r>
              <w:rPr>
                <w:sz w:val="20"/>
              </w:rPr>
              <w:t xml:space="preserve">От 3% до 9% включительно</w:t>
            </w:r>
          </w:p>
        </w:tc>
        <w:tc>
          <w:tcPr>
            <w:tcW w:w="1442" w:type="dxa"/>
            <w:vAlign w:val="center"/>
          </w:tcPr>
          <w:p>
            <w:pPr>
              <w:pStyle w:val="0"/>
              <w:jc w:val="center"/>
            </w:pPr>
            <w:r>
              <w:rPr>
                <w:sz w:val="20"/>
              </w:rPr>
              <w:t xml:space="preserve">3</w:t>
            </w:r>
          </w:p>
        </w:tc>
        <w:tc>
          <w:tcPr>
            <w:tcW w:w="1503" w:type="dxa"/>
            <w:vAlign w:val="center"/>
          </w:tcPr>
          <w:p>
            <w:pPr>
              <w:pStyle w:val="0"/>
              <w:jc w:val="center"/>
            </w:pPr>
            <w:r>
              <w:rPr>
                <w:sz w:val="20"/>
              </w:rPr>
              <w:t xml:space="preserve">Не оценивается</w:t>
            </w:r>
          </w:p>
        </w:tc>
        <w:tc>
          <w:tcPr>
            <w:tcW w:w="1417" w:type="dxa"/>
            <w:vAlign w:val="center"/>
          </w:tcPr>
          <w:p>
            <w:pPr>
              <w:pStyle w:val="0"/>
              <w:jc w:val="center"/>
            </w:pPr>
            <w:r>
              <w:rPr>
                <w:sz w:val="20"/>
              </w:rPr>
              <w:t xml:space="preserve">Не оценивается</w:t>
            </w:r>
          </w:p>
        </w:tc>
      </w:tr>
      <w:tr>
        <w:tc>
          <w:tcPr>
            <w:vMerge w:val="continue"/>
          </w:tcPr>
          <w:p/>
        </w:tc>
        <w:tc>
          <w:tcPr>
            <w:vMerge w:val="continue"/>
          </w:tcPr>
          <w:p/>
        </w:tc>
        <w:tc>
          <w:tcPr>
            <w:tcW w:w="2111" w:type="dxa"/>
            <w:vAlign w:val="center"/>
          </w:tcPr>
          <w:p>
            <w:pPr>
              <w:pStyle w:val="0"/>
            </w:pPr>
            <w:r>
              <w:rPr>
                <w:sz w:val="20"/>
              </w:rPr>
              <w:t xml:space="preserve">Менее 3%</w:t>
            </w:r>
          </w:p>
        </w:tc>
        <w:tc>
          <w:tcPr>
            <w:tcW w:w="1442" w:type="dxa"/>
            <w:vAlign w:val="center"/>
          </w:tcPr>
          <w:p>
            <w:pPr>
              <w:pStyle w:val="0"/>
              <w:jc w:val="center"/>
            </w:pPr>
            <w:r>
              <w:rPr>
                <w:sz w:val="20"/>
              </w:rPr>
              <w:t xml:space="preserve">0</w:t>
            </w:r>
          </w:p>
        </w:tc>
        <w:tc>
          <w:tcPr>
            <w:tcW w:w="1503" w:type="dxa"/>
            <w:vAlign w:val="center"/>
          </w:tcPr>
          <w:p>
            <w:pPr>
              <w:pStyle w:val="0"/>
              <w:jc w:val="center"/>
            </w:pPr>
            <w:r>
              <w:rPr>
                <w:sz w:val="20"/>
              </w:rPr>
              <w:t xml:space="preserve">Не оценивается</w:t>
            </w:r>
          </w:p>
        </w:tc>
        <w:tc>
          <w:tcPr>
            <w:tcW w:w="1417" w:type="dxa"/>
            <w:vAlign w:val="center"/>
          </w:tcPr>
          <w:p>
            <w:pPr>
              <w:pStyle w:val="0"/>
              <w:jc w:val="center"/>
            </w:pPr>
            <w:r>
              <w:rPr>
                <w:sz w:val="20"/>
              </w:rPr>
              <w:t xml:space="preserve">Не оценивается</w:t>
            </w:r>
          </w:p>
        </w:tc>
      </w:tr>
      <w:tr>
        <w:tc>
          <w:tcPr>
            <w:tcW w:w="604" w:type="dxa"/>
            <w:vMerge w:val="restart"/>
          </w:tcPr>
          <w:p>
            <w:pPr>
              <w:pStyle w:val="0"/>
              <w:jc w:val="center"/>
            </w:pPr>
            <w:r>
              <w:rPr>
                <w:sz w:val="20"/>
              </w:rPr>
              <w:t xml:space="preserve">2.8</w:t>
            </w:r>
          </w:p>
        </w:tc>
        <w:tc>
          <w:tcPr>
            <w:tcW w:w="3061" w:type="dxa"/>
            <w:vMerge w:val="restart"/>
          </w:tcPr>
          <w:p>
            <w:pPr>
              <w:pStyle w:val="0"/>
            </w:pPr>
            <w:r>
              <w:rPr>
                <w:sz w:val="20"/>
              </w:rPr>
              <w:t xml:space="preserve">Доля планируемых к созданию рабочих мест в результате реализации бизнес-проекта (инвестиционного проекта) к среднесписочной численности работников за предшествующий год</w:t>
            </w:r>
          </w:p>
        </w:tc>
        <w:tc>
          <w:tcPr>
            <w:tcW w:w="2111" w:type="dxa"/>
            <w:vAlign w:val="center"/>
          </w:tcPr>
          <w:p>
            <w:pPr>
              <w:pStyle w:val="0"/>
            </w:pPr>
            <w:r>
              <w:rPr>
                <w:sz w:val="20"/>
              </w:rPr>
              <w:t xml:space="preserve">Более 100%</w:t>
            </w:r>
          </w:p>
        </w:tc>
        <w:tc>
          <w:tcPr>
            <w:tcW w:w="1442" w:type="dxa"/>
            <w:vAlign w:val="center"/>
          </w:tcPr>
          <w:p>
            <w:pPr>
              <w:pStyle w:val="0"/>
              <w:jc w:val="center"/>
            </w:pPr>
            <w:r>
              <w:rPr>
                <w:sz w:val="20"/>
              </w:rPr>
              <w:t xml:space="preserve">5</w:t>
            </w:r>
          </w:p>
        </w:tc>
        <w:tc>
          <w:tcPr>
            <w:tcW w:w="1503" w:type="dxa"/>
            <w:vAlign w:val="center"/>
          </w:tcPr>
          <w:p>
            <w:pPr>
              <w:pStyle w:val="0"/>
              <w:jc w:val="center"/>
            </w:pPr>
            <w:r>
              <w:rPr>
                <w:sz w:val="20"/>
              </w:rPr>
              <w:t xml:space="preserve">5</w:t>
            </w:r>
          </w:p>
        </w:tc>
        <w:tc>
          <w:tcPr>
            <w:tcW w:w="1417" w:type="dxa"/>
            <w:vAlign w:val="center"/>
          </w:tcPr>
          <w:p>
            <w:pPr>
              <w:pStyle w:val="0"/>
              <w:jc w:val="center"/>
            </w:pPr>
            <w:r>
              <w:rPr>
                <w:sz w:val="20"/>
              </w:rPr>
              <w:t xml:space="preserve">Не оценивается</w:t>
            </w:r>
          </w:p>
        </w:tc>
      </w:tr>
      <w:tr>
        <w:tc>
          <w:tcPr>
            <w:vMerge w:val="continue"/>
          </w:tcPr>
          <w:p/>
        </w:tc>
        <w:tc>
          <w:tcPr>
            <w:vMerge w:val="continue"/>
          </w:tcPr>
          <w:p/>
        </w:tc>
        <w:tc>
          <w:tcPr>
            <w:tcW w:w="2111" w:type="dxa"/>
            <w:vAlign w:val="center"/>
          </w:tcPr>
          <w:p>
            <w:pPr>
              <w:pStyle w:val="0"/>
            </w:pPr>
            <w:r>
              <w:rPr>
                <w:sz w:val="20"/>
              </w:rPr>
              <w:t xml:space="preserve">От 50% до 100% включительно</w:t>
            </w:r>
          </w:p>
        </w:tc>
        <w:tc>
          <w:tcPr>
            <w:tcW w:w="1442" w:type="dxa"/>
            <w:vAlign w:val="center"/>
          </w:tcPr>
          <w:p>
            <w:pPr>
              <w:pStyle w:val="0"/>
              <w:jc w:val="center"/>
            </w:pPr>
            <w:r>
              <w:rPr>
                <w:sz w:val="20"/>
              </w:rPr>
              <w:t xml:space="preserve">4</w:t>
            </w:r>
          </w:p>
        </w:tc>
        <w:tc>
          <w:tcPr>
            <w:tcW w:w="1503" w:type="dxa"/>
            <w:vAlign w:val="center"/>
          </w:tcPr>
          <w:p>
            <w:pPr>
              <w:pStyle w:val="0"/>
              <w:jc w:val="center"/>
            </w:pPr>
            <w:r>
              <w:rPr>
                <w:sz w:val="20"/>
              </w:rPr>
              <w:t xml:space="preserve">4</w:t>
            </w:r>
          </w:p>
        </w:tc>
        <w:tc>
          <w:tcPr>
            <w:tcW w:w="1417" w:type="dxa"/>
            <w:vAlign w:val="center"/>
          </w:tcPr>
          <w:p>
            <w:pPr>
              <w:pStyle w:val="0"/>
              <w:jc w:val="center"/>
            </w:pPr>
            <w:r>
              <w:rPr>
                <w:sz w:val="20"/>
              </w:rPr>
              <w:t xml:space="preserve">Не оценивается</w:t>
            </w:r>
          </w:p>
        </w:tc>
      </w:tr>
      <w:tr>
        <w:tc>
          <w:tcPr>
            <w:vMerge w:val="continue"/>
          </w:tcPr>
          <w:p/>
        </w:tc>
        <w:tc>
          <w:tcPr>
            <w:vMerge w:val="continue"/>
          </w:tcPr>
          <w:p/>
        </w:tc>
        <w:tc>
          <w:tcPr>
            <w:tcW w:w="2111" w:type="dxa"/>
            <w:vAlign w:val="center"/>
          </w:tcPr>
          <w:p>
            <w:pPr>
              <w:pStyle w:val="0"/>
            </w:pPr>
            <w:r>
              <w:rPr>
                <w:sz w:val="20"/>
              </w:rPr>
              <w:t xml:space="preserve">Более 30%, но менее 50%</w:t>
            </w:r>
          </w:p>
        </w:tc>
        <w:tc>
          <w:tcPr>
            <w:tcW w:w="1442" w:type="dxa"/>
            <w:vAlign w:val="center"/>
          </w:tcPr>
          <w:p>
            <w:pPr>
              <w:pStyle w:val="0"/>
              <w:jc w:val="center"/>
            </w:pPr>
            <w:r>
              <w:rPr>
                <w:sz w:val="20"/>
              </w:rPr>
              <w:t xml:space="preserve">3</w:t>
            </w:r>
          </w:p>
        </w:tc>
        <w:tc>
          <w:tcPr>
            <w:tcW w:w="1503" w:type="dxa"/>
            <w:vAlign w:val="center"/>
          </w:tcPr>
          <w:p>
            <w:pPr>
              <w:pStyle w:val="0"/>
              <w:jc w:val="center"/>
            </w:pPr>
            <w:r>
              <w:rPr>
                <w:sz w:val="20"/>
              </w:rPr>
              <w:t xml:space="preserve">3</w:t>
            </w:r>
          </w:p>
        </w:tc>
        <w:tc>
          <w:tcPr>
            <w:tcW w:w="1417" w:type="dxa"/>
            <w:vAlign w:val="center"/>
          </w:tcPr>
          <w:p>
            <w:pPr>
              <w:pStyle w:val="0"/>
              <w:jc w:val="center"/>
            </w:pPr>
            <w:r>
              <w:rPr>
                <w:sz w:val="20"/>
              </w:rPr>
              <w:t xml:space="preserve">Не оценивается</w:t>
            </w:r>
          </w:p>
        </w:tc>
      </w:tr>
      <w:tr>
        <w:tc>
          <w:tcPr>
            <w:vMerge w:val="continue"/>
          </w:tcPr>
          <w:p/>
        </w:tc>
        <w:tc>
          <w:tcPr>
            <w:vMerge w:val="continue"/>
          </w:tcPr>
          <w:p/>
        </w:tc>
        <w:tc>
          <w:tcPr>
            <w:tcW w:w="2111" w:type="dxa"/>
            <w:vAlign w:val="center"/>
          </w:tcPr>
          <w:p>
            <w:pPr>
              <w:pStyle w:val="0"/>
            </w:pPr>
            <w:r>
              <w:rPr>
                <w:sz w:val="20"/>
              </w:rPr>
              <w:t xml:space="preserve">До 30% включительно</w:t>
            </w:r>
          </w:p>
        </w:tc>
        <w:tc>
          <w:tcPr>
            <w:tcW w:w="1442" w:type="dxa"/>
            <w:vAlign w:val="center"/>
          </w:tcPr>
          <w:p>
            <w:pPr>
              <w:pStyle w:val="0"/>
              <w:jc w:val="center"/>
            </w:pPr>
            <w:r>
              <w:rPr>
                <w:sz w:val="20"/>
              </w:rPr>
              <w:t xml:space="preserve">2</w:t>
            </w:r>
          </w:p>
        </w:tc>
        <w:tc>
          <w:tcPr>
            <w:tcW w:w="1503" w:type="dxa"/>
            <w:vAlign w:val="center"/>
          </w:tcPr>
          <w:p>
            <w:pPr>
              <w:pStyle w:val="0"/>
              <w:jc w:val="center"/>
            </w:pPr>
            <w:r>
              <w:rPr>
                <w:sz w:val="20"/>
              </w:rPr>
              <w:t xml:space="preserve">2</w:t>
            </w:r>
          </w:p>
        </w:tc>
        <w:tc>
          <w:tcPr>
            <w:tcW w:w="1417" w:type="dxa"/>
            <w:vAlign w:val="center"/>
          </w:tcPr>
          <w:p>
            <w:pPr>
              <w:pStyle w:val="0"/>
              <w:jc w:val="center"/>
            </w:pPr>
            <w:r>
              <w:rPr>
                <w:sz w:val="20"/>
              </w:rPr>
              <w:t xml:space="preserve">Не оценивается</w:t>
            </w:r>
          </w:p>
        </w:tc>
      </w:tr>
      <w:tr>
        <w:tc>
          <w:tcPr>
            <w:vMerge w:val="continue"/>
          </w:tcPr>
          <w:p/>
        </w:tc>
        <w:tc>
          <w:tcPr>
            <w:vMerge w:val="continue"/>
          </w:tcPr>
          <w:p/>
        </w:tc>
        <w:tc>
          <w:tcPr>
            <w:tcW w:w="2111" w:type="dxa"/>
            <w:vAlign w:val="center"/>
          </w:tcPr>
          <w:p>
            <w:pPr>
              <w:pStyle w:val="0"/>
            </w:pPr>
            <w:r>
              <w:rPr>
                <w:sz w:val="20"/>
              </w:rPr>
              <w:t xml:space="preserve">Создание рабочих мест не планируется</w:t>
            </w:r>
          </w:p>
        </w:tc>
        <w:tc>
          <w:tcPr>
            <w:tcW w:w="1442" w:type="dxa"/>
            <w:vAlign w:val="center"/>
          </w:tcPr>
          <w:p>
            <w:pPr>
              <w:pStyle w:val="0"/>
              <w:jc w:val="center"/>
            </w:pPr>
            <w:r>
              <w:rPr>
                <w:sz w:val="20"/>
              </w:rPr>
              <w:t xml:space="preserve">0</w:t>
            </w:r>
          </w:p>
        </w:tc>
        <w:tc>
          <w:tcPr>
            <w:tcW w:w="1503" w:type="dxa"/>
            <w:vAlign w:val="center"/>
          </w:tcPr>
          <w:p>
            <w:pPr>
              <w:pStyle w:val="0"/>
              <w:jc w:val="center"/>
            </w:pPr>
            <w:r>
              <w:rPr>
                <w:sz w:val="20"/>
              </w:rPr>
              <w:t xml:space="preserve">0</w:t>
            </w:r>
          </w:p>
        </w:tc>
        <w:tc>
          <w:tcPr>
            <w:tcW w:w="1417" w:type="dxa"/>
            <w:vAlign w:val="center"/>
          </w:tcPr>
          <w:p>
            <w:pPr>
              <w:pStyle w:val="0"/>
              <w:jc w:val="center"/>
            </w:pPr>
            <w:r>
              <w:rPr>
                <w:sz w:val="20"/>
              </w:rPr>
              <w:t xml:space="preserve">Не оценивается</w:t>
            </w:r>
          </w:p>
        </w:tc>
      </w:tr>
      <w:tr>
        <w:tc>
          <w:tcPr>
            <w:vMerge w:val="continue"/>
          </w:tcPr>
          <w:p/>
        </w:tc>
        <w:tc>
          <w:tcPr>
            <w:vMerge w:val="continue"/>
          </w:tcPr>
          <w:p/>
        </w:tc>
        <w:tc>
          <w:tcPr>
            <w:tcW w:w="2111" w:type="dxa"/>
            <w:vAlign w:val="center"/>
          </w:tcPr>
          <w:p>
            <w:pPr>
              <w:pStyle w:val="0"/>
            </w:pPr>
            <w:r>
              <w:rPr>
                <w:sz w:val="20"/>
              </w:rPr>
              <w:t xml:space="preserve">10% и более</w:t>
            </w:r>
          </w:p>
        </w:tc>
        <w:tc>
          <w:tcPr>
            <w:tcW w:w="1442" w:type="dxa"/>
            <w:vAlign w:val="center"/>
          </w:tcPr>
          <w:p>
            <w:pPr>
              <w:pStyle w:val="0"/>
              <w:jc w:val="center"/>
            </w:pPr>
            <w:r>
              <w:rPr>
                <w:sz w:val="20"/>
              </w:rPr>
              <w:t xml:space="preserve">Не оценивается</w:t>
            </w:r>
          </w:p>
        </w:tc>
        <w:tc>
          <w:tcPr>
            <w:tcW w:w="1503" w:type="dxa"/>
            <w:vAlign w:val="center"/>
          </w:tcPr>
          <w:p>
            <w:pPr>
              <w:pStyle w:val="0"/>
              <w:jc w:val="center"/>
            </w:pPr>
            <w:r>
              <w:rPr>
                <w:sz w:val="20"/>
              </w:rPr>
              <w:t xml:space="preserve">Не оценивается</w:t>
            </w:r>
          </w:p>
        </w:tc>
        <w:tc>
          <w:tcPr>
            <w:tcW w:w="1417" w:type="dxa"/>
            <w:vAlign w:val="center"/>
          </w:tcPr>
          <w:p>
            <w:pPr>
              <w:pStyle w:val="0"/>
              <w:jc w:val="center"/>
            </w:pPr>
            <w:r>
              <w:rPr>
                <w:sz w:val="20"/>
              </w:rPr>
              <w:t xml:space="preserve">5</w:t>
            </w:r>
          </w:p>
        </w:tc>
      </w:tr>
      <w:tr>
        <w:tc>
          <w:tcPr>
            <w:vMerge w:val="continue"/>
          </w:tcPr>
          <w:p/>
        </w:tc>
        <w:tc>
          <w:tcPr>
            <w:vMerge w:val="continue"/>
          </w:tcPr>
          <w:p/>
        </w:tc>
        <w:tc>
          <w:tcPr>
            <w:tcW w:w="2111" w:type="dxa"/>
            <w:vAlign w:val="center"/>
          </w:tcPr>
          <w:p>
            <w:pPr>
              <w:pStyle w:val="0"/>
            </w:pPr>
            <w:r>
              <w:rPr>
                <w:sz w:val="20"/>
              </w:rPr>
              <w:t xml:space="preserve">Более 5%, но менее 10%</w:t>
            </w:r>
          </w:p>
        </w:tc>
        <w:tc>
          <w:tcPr>
            <w:tcW w:w="1442" w:type="dxa"/>
            <w:vAlign w:val="center"/>
          </w:tcPr>
          <w:p>
            <w:pPr>
              <w:pStyle w:val="0"/>
              <w:jc w:val="center"/>
            </w:pPr>
            <w:r>
              <w:rPr>
                <w:sz w:val="20"/>
              </w:rPr>
              <w:t xml:space="preserve">Не оценивается</w:t>
            </w:r>
          </w:p>
        </w:tc>
        <w:tc>
          <w:tcPr>
            <w:tcW w:w="1503" w:type="dxa"/>
            <w:vAlign w:val="center"/>
          </w:tcPr>
          <w:p>
            <w:pPr>
              <w:pStyle w:val="0"/>
              <w:jc w:val="center"/>
            </w:pPr>
            <w:r>
              <w:rPr>
                <w:sz w:val="20"/>
              </w:rPr>
              <w:t xml:space="preserve">Не оценивается</w:t>
            </w:r>
          </w:p>
        </w:tc>
        <w:tc>
          <w:tcPr>
            <w:tcW w:w="1417" w:type="dxa"/>
            <w:vAlign w:val="center"/>
          </w:tcPr>
          <w:p>
            <w:pPr>
              <w:pStyle w:val="0"/>
              <w:jc w:val="center"/>
            </w:pPr>
            <w:r>
              <w:rPr>
                <w:sz w:val="20"/>
              </w:rPr>
              <w:t xml:space="preserve">4</w:t>
            </w:r>
          </w:p>
        </w:tc>
      </w:tr>
      <w:tr>
        <w:tc>
          <w:tcPr>
            <w:vMerge w:val="continue"/>
          </w:tcPr>
          <w:p/>
        </w:tc>
        <w:tc>
          <w:tcPr>
            <w:vMerge w:val="continue"/>
          </w:tcPr>
          <w:p/>
        </w:tc>
        <w:tc>
          <w:tcPr>
            <w:tcW w:w="2111" w:type="dxa"/>
            <w:vAlign w:val="center"/>
          </w:tcPr>
          <w:p>
            <w:pPr>
              <w:pStyle w:val="0"/>
            </w:pPr>
            <w:r>
              <w:rPr>
                <w:sz w:val="20"/>
              </w:rPr>
              <w:t xml:space="preserve">До 5% включительно</w:t>
            </w:r>
          </w:p>
        </w:tc>
        <w:tc>
          <w:tcPr>
            <w:tcW w:w="1442" w:type="dxa"/>
            <w:vAlign w:val="center"/>
          </w:tcPr>
          <w:p>
            <w:pPr>
              <w:pStyle w:val="0"/>
              <w:jc w:val="center"/>
            </w:pPr>
            <w:r>
              <w:rPr>
                <w:sz w:val="20"/>
              </w:rPr>
              <w:t xml:space="preserve">Не оценивается</w:t>
            </w:r>
          </w:p>
        </w:tc>
        <w:tc>
          <w:tcPr>
            <w:tcW w:w="1503" w:type="dxa"/>
            <w:vAlign w:val="center"/>
          </w:tcPr>
          <w:p>
            <w:pPr>
              <w:pStyle w:val="0"/>
              <w:jc w:val="center"/>
            </w:pPr>
            <w:r>
              <w:rPr>
                <w:sz w:val="20"/>
              </w:rPr>
              <w:t xml:space="preserve">Не оценивается</w:t>
            </w:r>
          </w:p>
        </w:tc>
        <w:tc>
          <w:tcPr>
            <w:tcW w:w="1417" w:type="dxa"/>
            <w:vAlign w:val="center"/>
          </w:tcPr>
          <w:p>
            <w:pPr>
              <w:pStyle w:val="0"/>
              <w:jc w:val="center"/>
            </w:pPr>
            <w:r>
              <w:rPr>
                <w:sz w:val="20"/>
              </w:rPr>
              <w:t xml:space="preserve">3</w:t>
            </w:r>
          </w:p>
        </w:tc>
      </w:tr>
      <w:tr>
        <w:tc>
          <w:tcPr>
            <w:vMerge w:val="continue"/>
          </w:tcPr>
          <w:p/>
        </w:tc>
        <w:tc>
          <w:tcPr>
            <w:vMerge w:val="continue"/>
          </w:tcPr>
          <w:p/>
        </w:tc>
        <w:tc>
          <w:tcPr>
            <w:tcW w:w="2111" w:type="dxa"/>
            <w:vAlign w:val="center"/>
          </w:tcPr>
          <w:p>
            <w:pPr>
              <w:pStyle w:val="0"/>
            </w:pPr>
            <w:r>
              <w:rPr>
                <w:sz w:val="20"/>
              </w:rPr>
              <w:t xml:space="preserve">Создание рабочих мест не планируется</w:t>
            </w:r>
          </w:p>
        </w:tc>
        <w:tc>
          <w:tcPr>
            <w:tcW w:w="1442" w:type="dxa"/>
            <w:vAlign w:val="center"/>
          </w:tcPr>
          <w:p>
            <w:pPr>
              <w:pStyle w:val="0"/>
              <w:jc w:val="center"/>
            </w:pPr>
            <w:r>
              <w:rPr>
                <w:sz w:val="20"/>
              </w:rPr>
              <w:t xml:space="preserve">Не оценивается</w:t>
            </w:r>
          </w:p>
        </w:tc>
        <w:tc>
          <w:tcPr>
            <w:tcW w:w="1503" w:type="dxa"/>
            <w:vAlign w:val="center"/>
          </w:tcPr>
          <w:p>
            <w:pPr>
              <w:pStyle w:val="0"/>
              <w:jc w:val="center"/>
            </w:pPr>
            <w:r>
              <w:rPr>
                <w:sz w:val="20"/>
              </w:rPr>
              <w:t xml:space="preserve">Не оценивается</w:t>
            </w:r>
          </w:p>
        </w:tc>
        <w:tc>
          <w:tcPr>
            <w:tcW w:w="1417" w:type="dxa"/>
            <w:vAlign w:val="center"/>
          </w:tcPr>
          <w:p>
            <w:pPr>
              <w:pStyle w:val="0"/>
              <w:jc w:val="center"/>
            </w:pPr>
            <w:r>
              <w:rPr>
                <w:sz w:val="20"/>
              </w:rPr>
              <w:t xml:space="preserve">0</w:t>
            </w:r>
          </w:p>
        </w:tc>
      </w:tr>
      <w:tr>
        <w:tc>
          <w:tcPr>
            <w:tcW w:w="604" w:type="dxa"/>
            <w:vMerge w:val="restart"/>
          </w:tcPr>
          <w:p>
            <w:pPr>
              <w:pStyle w:val="0"/>
              <w:jc w:val="center"/>
            </w:pPr>
            <w:r>
              <w:rPr>
                <w:sz w:val="20"/>
              </w:rPr>
              <w:t xml:space="preserve">2.9</w:t>
            </w:r>
          </w:p>
        </w:tc>
        <w:tc>
          <w:tcPr>
            <w:tcW w:w="3061" w:type="dxa"/>
            <w:vMerge w:val="restart"/>
          </w:tcPr>
          <w:p>
            <w:pPr>
              <w:pStyle w:val="0"/>
            </w:pPr>
            <w:r>
              <w:rPr>
                <w:sz w:val="20"/>
              </w:rPr>
              <w:t xml:space="preserve">Потенциал бизнес-проекта (инвестиционного проекта) к импортозамещению </w:t>
            </w:r>
            <w:hyperlink w:history="0" w:anchor="P1339" w:tooltip="&lt;4&gt; В соответствии с отраслевыми планами по гражданским секторам промышленности, утвержденными приказами Министерства промышленности и торговли Российской Федерации.">
              <w:r>
                <w:rPr>
                  <w:sz w:val="20"/>
                  <w:color w:val="0000ff"/>
                </w:rPr>
                <w:t xml:space="preserve">&lt;4&gt;</w:t>
              </w:r>
            </w:hyperlink>
            <w:r>
              <w:rPr>
                <w:sz w:val="20"/>
              </w:rPr>
              <w:t xml:space="preserve">/производству высокотехнологичной продукции, работ и услуг с учетом приоритетных направлений модернизации российской экономики </w:t>
            </w:r>
            <w:hyperlink w:history="0" w:anchor="P1340" w:tooltip="&lt;5&gt; В соответствии с Перечнем высокотехнологичной продукции, работ и услуг с учетом приоритетных направлений модернизации российской экономики, утвержденным приказом Министерства промышленности и торговли Российской Федерации от 16 сентября 2020 г. N 3092.">
              <w:r>
                <w:rPr>
                  <w:sz w:val="20"/>
                  <w:color w:val="0000ff"/>
                </w:rPr>
                <w:t xml:space="preserve">&lt;5&gt;</w:t>
              </w:r>
            </w:hyperlink>
          </w:p>
        </w:tc>
        <w:tc>
          <w:tcPr>
            <w:tcW w:w="2111" w:type="dxa"/>
            <w:vAlign w:val="center"/>
          </w:tcPr>
          <w:p>
            <w:pPr>
              <w:pStyle w:val="0"/>
            </w:pPr>
            <w:r>
              <w:rPr>
                <w:sz w:val="20"/>
              </w:rPr>
              <w:t xml:space="preserve">Бизнес-проект (инвестиционный проект) реализуется в целях создания и (или) развития либо модернизации производства импортозамещающих товаров/высокотехнологичной продукции, работ и услуг с учетом приоритетных направлений модернизации российской экономики</w:t>
            </w:r>
          </w:p>
        </w:tc>
        <w:tc>
          <w:tcPr>
            <w:tcW w:w="1442" w:type="dxa"/>
            <w:vAlign w:val="center"/>
          </w:tcPr>
          <w:p>
            <w:pPr>
              <w:pStyle w:val="0"/>
              <w:jc w:val="center"/>
            </w:pPr>
            <w:r>
              <w:rPr>
                <w:sz w:val="20"/>
              </w:rPr>
              <w:t xml:space="preserve">5</w:t>
            </w:r>
          </w:p>
        </w:tc>
        <w:tc>
          <w:tcPr>
            <w:tcW w:w="1503" w:type="dxa"/>
            <w:vAlign w:val="center"/>
          </w:tcPr>
          <w:p>
            <w:pPr>
              <w:pStyle w:val="0"/>
              <w:jc w:val="center"/>
            </w:pPr>
            <w:r>
              <w:rPr>
                <w:sz w:val="20"/>
              </w:rPr>
              <w:t xml:space="preserve">5</w:t>
            </w:r>
          </w:p>
        </w:tc>
        <w:tc>
          <w:tcPr>
            <w:tcW w:w="1417" w:type="dxa"/>
            <w:vAlign w:val="center"/>
          </w:tcPr>
          <w:p>
            <w:pPr>
              <w:pStyle w:val="0"/>
              <w:jc w:val="center"/>
            </w:pPr>
            <w:r>
              <w:rPr>
                <w:sz w:val="20"/>
              </w:rPr>
              <w:t xml:space="preserve">5</w:t>
            </w:r>
          </w:p>
        </w:tc>
      </w:tr>
      <w:tr>
        <w:tc>
          <w:tcPr>
            <w:vMerge w:val="continue"/>
          </w:tcPr>
          <w:p/>
        </w:tc>
        <w:tc>
          <w:tcPr>
            <w:vMerge w:val="continue"/>
          </w:tcPr>
          <w:p/>
        </w:tc>
        <w:tc>
          <w:tcPr>
            <w:tcW w:w="2111" w:type="dxa"/>
            <w:vAlign w:val="center"/>
          </w:tcPr>
          <w:p>
            <w:pPr>
              <w:pStyle w:val="0"/>
            </w:pPr>
            <w:r>
              <w:rPr>
                <w:sz w:val="20"/>
              </w:rPr>
              <w:t xml:space="preserve">Бизнес-проект (инвестиционный проект) реализуется в целях создания и (или) развития либо модернизации производства иных товаров (работ, услуг)</w:t>
            </w:r>
          </w:p>
        </w:tc>
        <w:tc>
          <w:tcPr>
            <w:tcW w:w="1442" w:type="dxa"/>
            <w:vAlign w:val="center"/>
          </w:tcPr>
          <w:p>
            <w:pPr>
              <w:pStyle w:val="0"/>
              <w:jc w:val="center"/>
            </w:pPr>
            <w:r>
              <w:rPr>
                <w:sz w:val="20"/>
              </w:rPr>
              <w:t xml:space="preserve">0</w:t>
            </w:r>
          </w:p>
        </w:tc>
        <w:tc>
          <w:tcPr>
            <w:tcW w:w="1503" w:type="dxa"/>
            <w:vAlign w:val="center"/>
          </w:tcPr>
          <w:p>
            <w:pPr>
              <w:pStyle w:val="0"/>
              <w:jc w:val="center"/>
            </w:pPr>
            <w:r>
              <w:rPr>
                <w:sz w:val="20"/>
              </w:rPr>
              <w:t xml:space="preserve">0</w:t>
            </w:r>
          </w:p>
        </w:tc>
        <w:tc>
          <w:tcPr>
            <w:tcW w:w="1417" w:type="dxa"/>
            <w:vAlign w:val="center"/>
          </w:tcPr>
          <w:p>
            <w:pPr>
              <w:pStyle w:val="0"/>
              <w:jc w:val="center"/>
            </w:pPr>
            <w:r>
              <w:rPr>
                <w:sz w:val="20"/>
              </w:rPr>
              <w:t xml:space="preserve">0</w:t>
            </w:r>
          </w:p>
        </w:tc>
      </w:tr>
      <w:tr>
        <w:tc>
          <w:tcPr>
            <w:gridSpan w:val="3"/>
            <w:tcW w:w="5776" w:type="dxa"/>
            <w:vAlign w:val="center"/>
          </w:tcPr>
          <w:p>
            <w:pPr>
              <w:pStyle w:val="0"/>
            </w:pPr>
            <w:r>
              <w:rPr>
                <w:sz w:val="20"/>
              </w:rPr>
              <w:t xml:space="preserve">ВСЕГО</w:t>
            </w:r>
          </w:p>
        </w:tc>
        <w:tc>
          <w:tcPr>
            <w:tcW w:w="1442" w:type="dxa"/>
            <w:vAlign w:val="center"/>
          </w:tcPr>
          <w:p>
            <w:pPr>
              <w:pStyle w:val="0"/>
              <w:jc w:val="center"/>
            </w:pPr>
            <w:r>
              <w:rPr>
                <w:sz w:val="20"/>
              </w:rPr>
              <w:t xml:space="preserve">50</w:t>
            </w:r>
          </w:p>
        </w:tc>
        <w:tc>
          <w:tcPr>
            <w:tcW w:w="1503" w:type="dxa"/>
            <w:vAlign w:val="center"/>
          </w:tcPr>
          <w:p>
            <w:pPr>
              <w:pStyle w:val="0"/>
              <w:jc w:val="center"/>
            </w:pPr>
            <w:r>
              <w:rPr>
                <w:sz w:val="20"/>
              </w:rPr>
              <w:t xml:space="preserve">50</w:t>
            </w:r>
          </w:p>
        </w:tc>
        <w:tc>
          <w:tcPr>
            <w:tcW w:w="1417" w:type="dxa"/>
            <w:vAlign w:val="center"/>
          </w:tcPr>
          <w:p>
            <w:pPr>
              <w:pStyle w:val="0"/>
              <w:jc w:val="center"/>
            </w:pPr>
            <w:r>
              <w:rPr>
                <w:sz w:val="20"/>
              </w:rPr>
              <w:t xml:space="preserve">50</w:t>
            </w:r>
          </w:p>
        </w:tc>
      </w:tr>
    </w:tbl>
    <w:p>
      <w:pPr>
        <w:pStyle w:val="0"/>
        <w:jc w:val="both"/>
      </w:pPr>
      <w:r>
        <w:rPr>
          <w:sz w:val="20"/>
        </w:rPr>
      </w:r>
    </w:p>
    <w:p>
      <w:pPr>
        <w:pStyle w:val="0"/>
        <w:ind w:firstLine="540"/>
        <w:jc w:val="both"/>
      </w:pPr>
      <w:r>
        <w:rPr>
          <w:sz w:val="20"/>
        </w:rPr>
        <w:t xml:space="preserve">--------------------------------</w:t>
      </w:r>
    </w:p>
    <w:bookmarkStart w:id="1336" w:name="P1336"/>
    <w:bookmarkEnd w:id="1336"/>
    <w:p>
      <w:pPr>
        <w:pStyle w:val="0"/>
        <w:spacing w:before="200" w:line-rule="auto"/>
        <w:ind w:firstLine="540"/>
        <w:jc w:val="both"/>
      </w:pPr>
      <w:r>
        <w:rPr>
          <w:sz w:val="20"/>
        </w:rPr>
        <w:t xml:space="preserve">&lt;1&gt; В соответствии с условиями отнесения к соответствующей категории, установленными </w:t>
      </w:r>
      <w:hyperlink w:history="0" r:id="rId282" w:tooltip="Федеральный закон от 24.07.2007 N 209-ФЗ (ред. от 29.12.2022) &quot;О развитии малого и среднего предпринимательства в Российской Федерации&quot; {КонсультантПлюс}">
        <w:r>
          <w:rPr>
            <w:sz w:val="20"/>
            <w:color w:val="0000ff"/>
          </w:rPr>
          <w:t xml:space="preserve">частью 3 статьи 4</w:t>
        </w:r>
      </w:hyperlink>
      <w:r>
        <w:rPr>
          <w:sz w:val="20"/>
        </w:rPr>
        <w:t xml:space="preserve"> Федерального закона от 24 июля 2007 г. N 209-ФЗ "О развитии малого и среднего предпринимательства в Российской Федерации".</w:t>
      </w:r>
    </w:p>
    <w:bookmarkStart w:id="1337" w:name="P1337"/>
    <w:bookmarkEnd w:id="1337"/>
    <w:p>
      <w:pPr>
        <w:pStyle w:val="0"/>
        <w:spacing w:before="200" w:line-rule="auto"/>
        <w:ind w:firstLine="540"/>
        <w:jc w:val="both"/>
      </w:pPr>
      <w:r>
        <w:rPr>
          <w:sz w:val="20"/>
        </w:rPr>
        <w:t xml:space="preserve">&lt;2&gt; Источник данных: Пермьстат.</w:t>
      </w:r>
    </w:p>
    <w:bookmarkStart w:id="1338" w:name="P1338"/>
    <w:bookmarkEnd w:id="1338"/>
    <w:p>
      <w:pPr>
        <w:pStyle w:val="0"/>
        <w:spacing w:before="200" w:line-rule="auto"/>
        <w:ind w:firstLine="540"/>
        <w:jc w:val="both"/>
      </w:pPr>
      <w:r>
        <w:rPr>
          <w:sz w:val="20"/>
        </w:rPr>
        <w:t xml:space="preserve">&lt;3&gt; Источник данных: ФНС России.</w:t>
      </w:r>
    </w:p>
    <w:bookmarkStart w:id="1339" w:name="P1339"/>
    <w:bookmarkEnd w:id="1339"/>
    <w:p>
      <w:pPr>
        <w:pStyle w:val="0"/>
        <w:spacing w:before="200" w:line-rule="auto"/>
        <w:ind w:firstLine="540"/>
        <w:jc w:val="both"/>
      </w:pPr>
      <w:r>
        <w:rPr>
          <w:sz w:val="20"/>
        </w:rPr>
        <w:t xml:space="preserve">&lt;4&gt; В соответствии с отраслевыми планами по гражданским секторам промышленности, утвержденными приказами Министерства промышленности и торговли Российской Федерации.</w:t>
      </w:r>
    </w:p>
    <w:bookmarkStart w:id="1340" w:name="P1340"/>
    <w:bookmarkEnd w:id="1340"/>
    <w:p>
      <w:pPr>
        <w:pStyle w:val="0"/>
        <w:spacing w:before="200" w:line-rule="auto"/>
        <w:ind w:firstLine="540"/>
        <w:jc w:val="both"/>
      </w:pPr>
      <w:r>
        <w:rPr>
          <w:sz w:val="20"/>
        </w:rPr>
        <w:t xml:space="preserve">&lt;5&gt; В соответствии с </w:t>
      </w:r>
      <w:hyperlink w:history="0" r:id="rId283" w:tooltip="Приказ Минпромторга России от 16.09.2020 N 3092 (ред. от 29.11.2022) &quot;Об утверждении Перечня высокотехнологичной продукции, работ и услуг с учетом приоритетных направлений модернизации российской экономики&quot; (Зарегистрировано в Минюсте России 20.10.2020 N 60487) {КонсультантПлюс}">
        <w:r>
          <w:rPr>
            <w:sz w:val="20"/>
            <w:color w:val="0000ff"/>
          </w:rPr>
          <w:t xml:space="preserve">Перечнем</w:t>
        </w:r>
      </w:hyperlink>
      <w:r>
        <w:rPr>
          <w:sz w:val="20"/>
        </w:rPr>
        <w:t xml:space="preserve"> высокотехнологичной продукции, работ и услуг с учетом приоритетных направлений модернизации российской экономики, утвержденным приказом Министерства промышленности и торговли Российской Федерации от 16 сентября 2020 г. N 3092.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6</w:t>
      </w:r>
    </w:p>
    <w:p>
      <w:pPr>
        <w:pStyle w:val="0"/>
        <w:jc w:val="right"/>
      </w:pPr>
      <w:r>
        <w:rPr>
          <w:sz w:val="20"/>
        </w:rPr>
        <w:t xml:space="preserve">к Порядку</w:t>
      </w:r>
    </w:p>
    <w:p>
      <w:pPr>
        <w:pStyle w:val="0"/>
        <w:jc w:val="right"/>
      </w:pPr>
      <w:r>
        <w:rPr>
          <w:sz w:val="20"/>
        </w:rPr>
        <w:t xml:space="preserve">предоставления субсидий из бюджета</w:t>
      </w:r>
    </w:p>
    <w:p>
      <w:pPr>
        <w:pStyle w:val="0"/>
        <w:jc w:val="right"/>
      </w:pPr>
      <w:r>
        <w:rPr>
          <w:sz w:val="20"/>
        </w:rPr>
        <w:t xml:space="preserve">Пермского края субъектам малого</w:t>
      </w:r>
    </w:p>
    <w:p>
      <w:pPr>
        <w:pStyle w:val="0"/>
        <w:jc w:val="right"/>
      </w:pPr>
      <w:r>
        <w:rPr>
          <w:sz w:val="20"/>
        </w:rPr>
        <w:t xml:space="preserve">и среднего предпринимательства</w:t>
      </w:r>
    </w:p>
    <w:p>
      <w:pPr>
        <w:pStyle w:val="0"/>
        <w:jc w:val="right"/>
      </w:pPr>
      <w:r>
        <w:rPr>
          <w:sz w:val="20"/>
        </w:rPr>
        <w:t xml:space="preserve">в целях возмещения части затрат,</w:t>
      </w:r>
    </w:p>
    <w:p>
      <w:pPr>
        <w:pStyle w:val="0"/>
        <w:jc w:val="right"/>
      </w:pPr>
      <w:r>
        <w:rPr>
          <w:sz w:val="20"/>
        </w:rPr>
        <w:t xml:space="preserve">связанных с осуществлением ими</w:t>
      </w:r>
    </w:p>
    <w:p>
      <w:pPr>
        <w:pStyle w:val="0"/>
        <w:jc w:val="right"/>
      </w:pPr>
      <w:r>
        <w:rPr>
          <w:sz w:val="20"/>
        </w:rPr>
        <w:t xml:space="preserve">предпринимательской деятельности</w:t>
      </w:r>
    </w:p>
    <w:p>
      <w:pPr>
        <w:pStyle w:val="0"/>
        <w:jc w:val="both"/>
      </w:pPr>
      <w:r>
        <w:rPr>
          <w:sz w:val="20"/>
        </w:rPr>
      </w:r>
    </w:p>
    <w:p>
      <w:pPr>
        <w:pStyle w:val="0"/>
        <w:jc w:val="center"/>
      </w:pPr>
      <w:r>
        <w:rPr>
          <w:sz w:val="20"/>
        </w:rPr>
        <w:t xml:space="preserve">ОЦЕНОЧНЫЙ ЛИСТ</w:t>
      </w:r>
    </w:p>
    <w:p>
      <w:pPr>
        <w:pStyle w:val="0"/>
        <w:jc w:val="center"/>
      </w:pPr>
      <w:r>
        <w:rPr>
          <w:sz w:val="20"/>
        </w:rPr>
        <w:t xml:space="preserve">бизнес-проекта (инвестиционного проекта)</w:t>
      </w:r>
    </w:p>
    <w:p>
      <w:pPr>
        <w:pStyle w:val="0"/>
        <w:jc w:val="both"/>
      </w:pPr>
      <w:r>
        <w:rPr>
          <w:sz w:val="20"/>
        </w:rPr>
      </w:r>
    </w:p>
    <w:p>
      <w:pPr>
        <w:pStyle w:val="0"/>
        <w:ind w:firstLine="540"/>
        <w:jc w:val="both"/>
      </w:pPr>
      <w:r>
        <w:rPr>
          <w:sz w:val="20"/>
        </w:rPr>
        <w:t xml:space="preserve">Утратил силу. - </w:t>
      </w:r>
      <w:hyperlink w:history="0" r:id="rId284" w:tooltip="Постановление Правительства Пермского края от 30.03.2023 N 222-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w:t>
        </w:r>
      </w:hyperlink>
      <w:r>
        <w:rPr>
          <w:sz w:val="20"/>
        </w:rPr>
        <w:t xml:space="preserve"> Правительства Пермского края от 30.03.2023 N 222-п.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7</w:t>
      </w:r>
    </w:p>
    <w:p>
      <w:pPr>
        <w:pStyle w:val="0"/>
        <w:jc w:val="right"/>
      </w:pPr>
      <w:r>
        <w:rPr>
          <w:sz w:val="20"/>
        </w:rPr>
        <w:t xml:space="preserve">к Порядку</w:t>
      </w:r>
    </w:p>
    <w:p>
      <w:pPr>
        <w:pStyle w:val="0"/>
        <w:jc w:val="right"/>
      </w:pPr>
      <w:r>
        <w:rPr>
          <w:sz w:val="20"/>
        </w:rPr>
        <w:t xml:space="preserve">предоставления субсидий из бюджета</w:t>
      </w:r>
    </w:p>
    <w:p>
      <w:pPr>
        <w:pStyle w:val="0"/>
        <w:jc w:val="right"/>
      </w:pPr>
      <w:r>
        <w:rPr>
          <w:sz w:val="20"/>
        </w:rPr>
        <w:t xml:space="preserve">Пермского края субъектам малого</w:t>
      </w:r>
    </w:p>
    <w:p>
      <w:pPr>
        <w:pStyle w:val="0"/>
        <w:jc w:val="right"/>
      </w:pPr>
      <w:r>
        <w:rPr>
          <w:sz w:val="20"/>
        </w:rPr>
        <w:t xml:space="preserve">и среднего предпринимательства</w:t>
      </w:r>
    </w:p>
    <w:p>
      <w:pPr>
        <w:pStyle w:val="0"/>
        <w:jc w:val="right"/>
      </w:pPr>
      <w:r>
        <w:rPr>
          <w:sz w:val="20"/>
        </w:rPr>
        <w:t xml:space="preserve">в целях возмещения части затрат,</w:t>
      </w:r>
    </w:p>
    <w:p>
      <w:pPr>
        <w:pStyle w:val="0"/>
        <w:jc w:val="right"/>
      </w:pPr>
      <w:r>
        <w:rPr>
          <w:sz w:val="20"/>
        </w:rPr>
        <w:t xml:space="preserve">связанных с осуществлением ими</w:t>
      </w:r>
    </w:p>
    <w:p>
      <w:pPr>
        <w:pStyle w:val="0"/>
        <w:jc w:val="right"/>
      </w:pPr>
      <w:r>
        <w:rPr>
          <w:sz w:val="20"/>
        </w:rPr>
        <w:t xml:space="preserve">предпринимательской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85" w:tooltip="Постановление Правительства Пермского края от 20.12.2018 N 84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Постановления</w:t>
              </w:r>
            </w:hyperlink>
            <w:r>
              <w:rPr>
                <w:sz w:val="20"/>
                <w:color w:val="392c69"/>
              </w:rPr>
              <w:t xml:space="preserve"> Правительства Пермского края от 20.12.2018 N 843-п)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1377" w:name="P1377"/>
    <w:bookmarkEnd w:id="1377"/>
    <w:p>
      <w:pPr>
        <w:pStyle w:val="0"/>
        <w:jc w:val="center"/>
      </w:pPr>
      <w:r>
        <w:rPr>
          <w:sz w:val="20"/>
        </w:rPr>
        <w:t xml:space="preserve">СВОДНЫЙ ОЦЕНОЧНЫЙ ЛИСТ</w:t>
      </w:r>
    </w:p>
    <w:p>
      <w:pPr>
        <w:pStyle w:val="0"/>
        <w:jc w:val="center"/>
      </w:pPr>
      <w:r>
        <w:rPr>
          <w:sz w:val="20"/>
        </w:rPr>
        <w:t xml:space="preserve">бизнес-проектов (инвестиционных проектов) субъектов малого</w:t>
      </w:r>
    </w:p>
    <w:p>
      <w:pPr>
        <w:pStyle w:val="0"/>
        <w:jc w:val="center"/>
      </w:pPr>
      <w:r>
        <w:rPr>
          <w:sz w:val="20"/>
        </w:rPr>
        <w:t xml:space="preserve">и среднего предпринимательства, представленных для получения</w:t>
      </w:r>
    </w:p>
    <w:p>
      <w:pPr>
        <w:pStyle w:val="0"/>
        <w:jc w:val="center"/>
      </w:pPr>
      <w:r>
        <w:rPr>
          <w:sz w:val="20"/>
        </w:rPr>
        <w:t xml:space="preserve">субсидий на возмещение части затрат, связанных</w:t>
      </w:r>
    </w:p>
    <w:p>
      <w:pPr>
        <w:pStyle w:val="0"/>
        <w:jc w:val="center"/>
      </w:pPr>
      <w:r>
        <w:rPr>
          <w:sz w:val="20"/>
        </w:rPr>
        <w:t xml:space="preserve">с осуществлением ими предпринимательской деятельности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8"/>
        <w:gridCol w:w="2098"/>
        <w:gridCol w:w="1928"/>
        <w:gridCol w:w="794"/>
        <w:gridCol w:w="567"/>
        <w:gridCol w:w="567"/>
        <w:gridCol w:w="567"/>
        <w:gridCol w:w="567"/>
        <w:gridCol w:w="580"/>
        <w:gridCol w:w="430"/>
        <w:gridCol w:w="550"/>
        <w:gridCol w:w="567"/>
        <w:gridCol w:w="567"/>
        <w:gridCol w:w="624"/>
        <w:gridCol w:w="567"/>
        <w:gridCol w:w="709"/>
        <w:gridCol w:w="567"/>
        <w:gridCol w:w="708"/>
        <w:gridCol w:w="1527"/>
      </w:tblGrid>
      <w:tr>
        <w:tc>
          <w:tcPr>
            <w:tcW w:w="568" w:type="dxa"/>
            <w:vAlign w:val="center"/>
            <w:vMerge w:val="restart"/>
          </w:tcPr>
          <w:p>
            <w:pPr>
              <w:pStyle w:val="0"/>
              <w:jc w:val="center"/>
            </w:pPr>
            <w:r>
              <w:rPr>
                <w:sz w:val="20"/>
              </w:rPr>
              <w:t xml:space="preserve">N п/п</w:t>
            </w:r>
          </w:p>
        </w:tc>
        <w:tc>
          <w:tcPr>
            <w:tcW w:w="2098" w:type="dxa"/>
            <w:vAlign w:val="center"/>
            <w:vMerge w:val="restart"/>
          </w:tcPr>
          <w:p>
            <w:pPr>
              <w:pStyle w:val="0"/>
              <w:jc w:val="center"/>
            </w:pPr>
            <w:r>
              <w:rPr>
                <w:sz w:val="20"/>
              </w:rPr>
              <w:t xml:space="preserve">Наименование бизнес-проекта (инвестиционного проекта)</w:t>
            </w:r>
          </w:p>
        </w:tc>
        <w:tc>
          <w:tcPr>
            <w:tcW w:w="1928" w:type="dxa"/>
            <w:vAlign w:val="center"/>
            <w:vMerge w:val="restart"/>
          </w:tcPr>
          <w:p>
            <w:pPr>
              <w:pStyle w:val="0"/>
              <w:jc w:val="center"/>
            </w:pPr>
            <w:r>
              <w:rPr>
                <w:sz w:val="20"/>
              </w:rPr>
              <w:t xml:space="preserve">Наименование субъекта малого и среднего предпринимательства</w:t>
            </w:r>
          </w:p>
        </w:tc>
        <w:tc>
          <w:tcPr>
            <w:gridSpan w:val="15"/>
            <w:tcW w:w="8931" w:type="dxa"/>
            <w:vAlign w:val="center"/>
          </w:tcPr>
          <w:p>
            <w:pPr>
              <w:pStyle w:val="0"/>
              <w:jc w:val="center"/>
            </w:pPr>
            <w:r>
              <w:rPr>
                <w:sz w:val="20"/>
              </w:rPr>
              <w:t xml:space="preserve">Количество набранных баллов, проставленных экспертной группой</w:t>
            </w:r>
          </w:p>
        </w:tc>
        <w:tc>
          <w:tcPr>
            <w:tcW w:w="1527" w:type="dxa"/>
            <w:vAlign w:val="center"/>
            <w:vMerge w:val="restart"/>
          </w:tcPr>
          <w:p>
            <w:pPr>
              <w:pStyle w:val="0"/>
              <w:jc w:val="center"/>
            </w:pPr>
            <w:r>
              <w:rPr>
                <w:sz w:val="20"/>
              </w:rPr>
              <w:t xml:space="preserve">Комментарии экспертной группы</w:t>
            </w:r>
          </w:p>
        </w:tc>
      </w:tr>
      <w:tr>
        <w:tc>
          <w:tcPr>
            <w:vMerge w:val="continue"/>
          </w:tcPr>
          <w:p/>
        </w:tc>
        <w:tc>
          <w:tcPr>
            <w:vMerge w:val="continue"/>
          </w:tcPr>
          <w:p/>
        </w:tc>
        <w:tc>
          <w:tcPr>
            <w:vMerge w:val="continue"/>
          </w:tcPr>
          <w:p/>
        </w:tc>
        <w:tc>
          <w:tcPr>
            <w:tcW w:w="794" w:type="dxa"/>
            <w:vAlign w:val="center"/>
            <w:vMerge w:val="restart"/>
          </w:tcPr>
          <w:p>
            <w:pPr>
              <w:pStyle w:val="0"/>
              <w:jc w:val="center"/>
            </w:pPr>
            <w:r>
              <w:rPr>
                <w:sz w:val="20"/>
              </w:rPr>
              <w:t xml:space="preserve">Всего</w:t>
            </w:r>
          </w:p>
        </w:tc>
        <w:tc>
          <w:tcPr>
            <w:gridSpan w:val="14"/>
            <w:tcW w:w="8137" w:type="dxa"/>
            <w:vAlign w:val="center"/>
          </w:tcPr>
          <w:p>
            <w:pPr>
              <w:pStyle w:val="0"/>
              <w:jc w:val="center"/>
            </w:pPr>
            <w:r>
              <w:rPr>
                <w:sz w:val="20"/>
              </w:rPr>
              <w:t xml:space="preserve">В том числе по </w:t>
            </w:r>
            <w:hyperlink w:history="0" w:anchor="P1091" w:tooltip="КРИТЕРИИ">
              <w:r>
                <w:rPr>
                  <w:sz w:val="20"/>
                  <w:color w:val="0000ff"/>
                </w:rPr>
                <w:t xml:space="preserve">критериям</w:t>
              </w:r>
            </w:hyperlink>
            <w:r>
              <w:rPr>
                <w:sz w:val="20"/>
              </w:rPr>
              <w:t xml:space="preserve"> оценки бизнес-проекта (инвестиционного проекта), N п/п приложения 5 к Порядку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w:t>
            </w:r>
          </w:p>
        </w:tc>
        <w:tc>
          <w:tcPr>
            <w:vMerge w:val="continue"/>
          </w:tcPr>
          <w:p/>
        </w:tc>
      </w:tr>
      <w:tr>
        <w:tc>
          <w:tcPr>
            <w:vMerge w:val="continue"/>
          </w:tcPr>
          <w:p/>
        </w:tc>
        <w:tc>
          <w:tcPr>
            <w:vMerge w:val="continue"/>
          </w:tcPr>
          <w:p/>
        </w:tc>
        <w:tc>
          <w:tcPr>
            <w:vMerge w:val="continue"/>
          </w:tcPr>
          <w:p/>
        </w:tc>
        <w:tc>
          <w:tcPr>
            <w:vMerge w:val="continue"/>
          </w:tcPr>
          <w:p/>
        </w:tc>
        <w:tc>
          <w:tcPr>
            <w:tcW w:w="567" w:type="dxa"/>
            <w:vAlign w:val="center"/>
          </w:tcPr>
          <w:p>
            <w:pPr>
              <w:pStyle w:val="0"/>
              <w:jc w:val="center"/>
            </w:pPr>
            <w:r>
              <w:rPr>
                <w:sz w:val="20"/>
              </w:rPr>
              <w:t xml:space="preserve">1.1</w:t>
            </w:r>
          </w:p>
        </w:tc>
        <w:tc>
          <w:tcPr>
            <w:tcW w:w="567" w:type="dxa"/>
            <w:vAlign w:val="center"/>
          </w:tcPr>
          <w:p>
            <w:pPr>
              <w:pStyle w:val="0"/>
              <w:jc w:val="center"/>
            </w:pPr>
            <w:r>
              <w:rPr>
                <w:sz w:val="20"/>
              </w:rPr>
              <w:t xml:space="preserve">1.2</w:t>
            </w:r>
          </w:p>
        </w:tc>
        <w:tc>
          <w:tcPr>
            <w:tcW w:w="567" w:type="dxa"/>
            <w:vAlign w:val="center"/>
          </w:tcPr>
          <w:p>
            <w:pPr>
              <w:pStyle w:val="0"/>
              <w:jc w:val="center"/>
            </w:pPr>
            <w:r>
              <w:rPr>
                <w:sz w:val="20"/>
              </w:rPr>
              <w:t xml:space="preserve">1.3</w:t>
            </w:r>
          </w:p>
        </w:tc>
        <w:tc>
          <w:tcPr>
            <w:tcW w:w="567" w:type="dxa"/>
            <w:vAlign w:val="center"/>
          </w:tcPr>
          <w:p>
            <w:pPr>
              <w:pStyle w:val="0"/>
              <w:jc w:val="center"/>
            </w:pPr>
            <w:r>
              <w:rPr>
                <w:sz w:val="20"/>
              </w:rPr>
              <w:t xml:space="preserve">2.1</w:t>
            </w:r>
          </w:p>
        </w:tc>
        <w:tc>
          <w:tcPr>
            <w:tcW w:w="580" w:type="dxa"/>
            <w:vAlign w:val="center"/>
          </w:tcPr>
          <w:p>
            <w:pPr>
              <w:pStyle w:val="0"/>
              <w:jc w:val="center"/>
            </w:pPr>
            <w:r>
              <w:rPr>
                <w:sz w:val="20"/>
              </w:rPr>
              <w:t xml:space="preserve">2.2</w:t>
            </w:r>
          </w:p>
        </w:tc>
        <w:tc>
          <w:tcPr>
            <w:tcW w:w="430" w:type="dxa"/>
            <w:vAlign w:val="center"/>
          </w:tcPr>
          <w:p>
            <w:pPr>
              <w:pStyle w:val="0"/>
              <w:jc w:val="center"/>
            </w:pPr>
            <w:r>
              <w:rPr>
                <w:sz w:val="20"/>
              </w:rPr>
              <w:t xml:space="preserve">2.3</w:t>
            </w:r>
          </w:p>
        </w:tc>
        <w:tc>
          <w:tcPr>
            <w:tcW w:w="550" w:type="dxa"/>
            <w:vAlign w:val="center"/>
          </w:tcPr>
          <w:p>
            <w:pPr>
              <w:pStyle w:val="0"/>
              <w:jc w:val="center"/>
            </w:pPr>
            <w:r>
              <w:rPr>
                <w:sz w:val="20"/>
              </w:rPr>
              <w:t xml:space="preserve">2.4</w:t>
            </w:r>
          </w:p>
        </w:tc>
        <w:tc>
          <w:tcPr>
            <w:tcW w:w="567" w:type="dxa"/>
            <w:vAlign w:val="center"/>
          </w:tcPr>
          <w:p>
            <w:pPr>
              <w:pStyle w:val="0"/>
              <w:jc w:val="center"/>
            </w:pPr>
            <w:r>
              <w:rPr>
                <w:sz w:val="20"/>
              </w:rPr>
              <w:t xml:space="preserve">2.5</w:t>
            </w:r>
          </w:p>
        </w:tc>
        <w:tc>
          <w:tcPr>
            <w:tcW w:w="567" w:type="dxa"/>
            <w:vAlign w:val="center"/>
          </w:tcPr>
          <w:p>
            <w:pPr>
              <w:pStyle w:val="0"/>
              <w:jc w:val="center"/>
            </w:pPr>
            <w:r>
              <w:rPr>
                <w:sz w:val="20"/>
              </w:rPr>
              <w:t xml:space="preserve">2.6</w:t>
            </w:r>
          </w:p>
        </w:tc>
        <w:tc>
          <w:tcPr>
            <w:tcW w:w="624" w:type="dxa"/>
            <w:vAlign w:val="center"/>
          </w:tcPr>
          <w:p>
            <w:pPr>
              <w:pStyle w:val="0"/>
              <w:jc w:val="center"/>
            </w:pPr>
            <w:r>
              <w:rPr>
                <w:sz w:val="20"/>
              </w:rPr>
              <w:t xml:space="preserve">2.7</w:t>
            </w:r>
          </w:p>
        </w:tc>
        <w:tc>
          <w:tcPr>
            <w:tcW w:w="567" w:type="dxa"/>
            <w:vAlign w:val="center"/>
          </w:tcPr>
          <w:p>
            <w:pPr>
              <w:pStyle w:val="0"/>
              <w:jc w:val="center"/>
            </w:pPr>
            <w:r>
              <w:rPr>
                <w:sz w:val="20"/>
              </w:rPr>
              <w:t xml:space="preserve">2.8</w:t>
            </w:r>
          </w:p>
        </w:tc>
        <w:tc>
          <w:tcPr>
            <w:tcW w:w="709" w:type="dxa"/>
            <w:vAlign w:val="center"/>
          </w:tcPr>
          <w:p>
            <w:pPr>
              <w:pStyle w:val="0"/>
              <w:jc w:val="center"/>
            </w:pPr>
            <w:r>
              <w:rPr>
                <w:sz w:val="20"/>
              </w:rPr>
              <w:t xml:space="preserve">2.8.1</w:t>
            </w:r>
          </w:p>
        </w:tc>
        <w:tc>
          <w:tcPr>
            <w:tcW w:w="567" w:type="dxa"/>
            <w:vAlign w:val="center"/>
          </w:tcPr>
          <w:p>
            <w:pPr>
              <w:pStyle w:val="0"/>
              <w:jc w:val="center"/>
            </w:pPr>
            <w:r>
              <w:rPr>
                <w:sz w:val="20"/>
              </w:rPr>
              <w:t xml:space="preserve">2.9</w:t>
            </w:r>
          </w:p>
        </w:tc>
        <w:tc>
          <w:tcPr>
            <w:tcW w:w="708" w:type="dxa"/>
            <w:vAlign w:val="center"/>
          </w:tcPr>
          <w:p>
            <w:pPr>
              <w:pStyle w:val="0"/>
              <w:jc w:val="center"/>
            </w:pPr>
            <w:r>
              <w:rPr>
                <w:sz w:val="20"/>
              </w:rPr>
              <w:t xml:space="preserve">2.10</w:t>
            </w:r>
          </w:p>
        </w:tc>
        <w:tc>
          <w:tcPr>
            <w:vMerge w:val="continue"/>
          </w:tcPr>
          <w:p/>
        </w:tc>
      </w:tr>
      <w:tr>
        <w:tc>
          <w:tcPr>
            <w:tcW w:w="568" w:type="dxa"/>
            <w:vAlign w:val="center"/>
          </w:tcPr>
          <w:p>
            <w:pPr>
              <w:pStyle w:val="0"/>
              <w:jc w:val="center"/>
            </w:pPr>
            <w:r>
              <w:rPr>
                <w:sz w:val="20"/>
              </w:rPr>
              <w:t xml:space="preserve">1</w:t>
            </w:r>
          </w:p>
        </w:tc>
        <w:tc>
          <w:tcPr>
            <w:tcW w:w="2098" w:type="dxa"/>
            <w:vAlign w:val="center"/>
          </w:tcPr>
          <w:p>
            <w:pPr>
              <w:pStyle w:val="0"/>
              <w:jc w:val="center"/>
            </w:pPr>
            <w:r>
              <w:rPr>
                <w:sz w:val="20"/>
              </w:rPr>
              <w:t xml:space="preserve">2</w:t>
            </w:r>
          </w:p>
        </w:tc>
        <w:tc>
          <w:tcPr>
            <w:tcW w:w="1928" w:type="dxa"/>
            <w:vAlign w:val="center"/>
          </w:tcPr>
          <w:p>
            <w:pPr>
              <w:pStyle w:val="0"/>
              <w:jc w:val="center"/>
            </w:pPr>
            <w:r>
              <w:rPr>
                <w:sz w:val="20"/>
              </w:rPr>
              <w:t xml:space="preserve">3</w:t>
            </w:r>
          </w:p>
        </w:tc>
        <w:tc>
          <w:tcPr>
            <w:tcW w:w="794" w:type="dxa"/>
            <w:vAlign w:val="center"/>
          </w:tcPr>
          <w:p>
            <w:pPr>
              <w:pStyle w:val="0"/>
              <w:jc w:val="center"/>
            </w:pPr>
            <w:r>
              <w:rPr>
                <w:sz w:val="20"/>
              </w:rPr>
              <w:t xml:space="preserve">4</w:t>
            </w:r>
          </w:p>
        </w:tc>
        <w:tc>
          <w:tcPr>
            <w:tcW w:w="567" w:type="dxa"/>
            <w:vAlign w:val="center"/>
          </w:tcPr>
          <w:p>
            <w:pPr>
              <w:pStyle w:val="0"/>
              <w:jc w:val="center"/>
            </w:pPr>
            <w:r>
              <w:rPr>
                <w:sz w:val="20"/>
              </w:rPr>
              <w:t xml:space="preserve">5</w:t>
            </w:r>
          </w:p>
        </w:tc>
        <w:tc>
          <w:tcPr>
            <w:tcW w:w="567" w:type="dxa"/>
            <w:vAlign w:val="center"/>
          </w:tcPr>
          <w:p>
            <w:pPr>
              <w:pStyle w:val="0"/>
              <w:jc w:val="center"/>
            </w:pPr>
            <w:r>
              <w:rPr>
                <w:sz w:val="20"/>
              </w:rPr>
              <w:t xml:space="preserve">6</w:t>
            </w:r>
          </w:p>
        </w:tc>
        <w:tc>
          <w:tcPr>
            <w:tcW w:w="567" w:type="dxa"/>
            <w:vAlign w:val="center"/>
          </w:tcPr>
          <w:p>
            <w:pPr>
              <w:pStyle w:val="0"/>
              <w:jc w:val="center"/>
            </w:pPr>
            <w:r>
              <w:rPr>
                <w:sz w:val="20"/>
              </w:rPr>
              <w:t xml:space="preserve">7</w:t>
            </w:r>
          </w:p>
        </w:tc>
        <w:tc>
          <w:tcPr>
            <w:tcW w:w="567" w:type="dxa"/>
            <w:vAlign w:val="center"/>
          </w:tcPr>
          <w:p>
            <w:pPr>
              <w:pStyle w:val="0"/>
              <w:jc w:val="center"/>
            </w:pPr>
            <w:r>
              <w:rPr>
                <w:sz w:val="20"/>
              </w:rPr>
              <w:t xml:space="preserve">8</w:t>
            </w:r>
          </w:p>
        </w:tc>
        <w:tc>
          <w:tcPr>
            <w:tcW w:w="580" w:type="dxa"/>
            <w:vAlign w:val="center"/>
          </w:tcPr>
          <w:p>
            <w:pPr>
              <w:pStyle w:val="0"/>
              <w:jc w:val="center"/>
            </w:pPr>
            <w:r>
              <w:rPr>
                <w:sz w:val="20"/>
              </w:rPr>
              <w:t xml:space="preserve">9</w:t>
            </w:r>
          </w:p>
        </w:tc>
        <w:tc>
          <w:tcPr>
            <w:tcW w:w="430" w:type="dxa"/>
            <w:vAlign w:val="center"/>
          </w:tcPr>
          <w:p>
            <w:pPr>
              <w:pStyle w:val="0"/>
              <w:jc w:val="center"/>
            </w:pPr>
            <w:r>
              <w:rPr>
                <w:sz w:val="20"/>
              </w:rPr>
              <w:t xml:space="preserve">10</w:t>
            </w:r>
          </w:p>
        </w:tc>
        <w:tc>
          <w:tcPr>
            <w:tcW w:w="550" w:type="dxa"/>
            <w:vAlign w:val="center"/>
          </w:tcPr>
          <w:p>
            <w:pPr>
              <w:pStyle w:val="0"/>
              <w:jc w:val="center"/>
            </w:pPr>
            <w:r>
              <w:rPr>
                <w:sz w:val="20"/>
              </w:rPr>
              <w:t xml:space="preserve">11</w:t>
            </w:r>
          </w:p>
        </w:tc>
        <w:tc>
          <w:tcPr>
            <w:tcW w:w="567" w:type="dxa"/>
            <w:vAlign w:val="center"/>
          </w:tcPr>
          <w:p>
            <w:pPr>
              <w:pStyle w:val="0"/>
              <w:jc w:val="center"/>
            </w:pPr>
            <w:r>
              <w:rPr>
                <w:sz w:val="20"/>
              </w:rPr>
              <w:t xml:space="preserve">12</w:t>
            </w:r>
          </w:p>
        </w:tc>
        <w:tc>
          <w:tcPr>
            <w:tcW w:w="567" w:type="dxa"/>
            <w:vAlign w:val="center"/>
          </w:tcPr>
          <w:p>
            <w:pPr>
              <w:pStyle w:val="0"/>
              <w:jc w:val="center"/>
            </w:pPr>
            <w:r>
              <w:rPr>
                <w:sz w:val="20"/>
              </w:rPr>
              <w:t xml:space="preserve">13</w:t>
            </w:r>
          </w:p>
        </w:tc>
        <w:tc>
          <w:tcPr>
            <w:tcW w:w="624" w:type="dxa"/>
            <w:vAlign w:val="center"/>
          </w:tcPr>
          <w:p>
            <w:pPr>
              <w:pStyle w:val="0"/>
              <w:jc w:val="center"/>
            </w:pPr>
            <w:r>
              <w:rPr>
                <w:sz w:val="20"/>
              </w:rPr>
              <w:t xml:space="preserve">14</w:t>
            </w:r>
          </w:p>
        </w:tc>
        <w:tc>
          <w:tcPr>
            <w:tcW w:w="567" w:type="dxa"/>
            <w:vAlign w:val="center"/>
          </w:tcPr>
          <w:p>
            <w:pPr>
              <w:pStyle w:val="0"/>
              <w:jc w:val="center"/>
            </w:pPr>
            <w:r>
              <w:rPr>
                <w:sz w:val="20"/>
              </w:rPr>
              <w:t xml:space="preserve">15</w:t>
            </w:r>
          </w:p>
        </w:tc>
        <w:tc>
          <w:tcPr>
            <w:tcW w:w="709" w:type="dxa"/>
            <w:vAlign w:val="center"/>
          </w:tcPr>
          <w:p>
            <w:pPr>
              <w:pStyle w:val="0"/>
              <w:jc w:val="center"/>
            </w:pPr>
            <w:r>
              <w:rPr>
                <w:sz w:val="20"/>
              </w:rPr>
              <w:t xml:space="preserve">16</w:t>
            </w:r>
          </w:p>
        </w:tc>
        <w:tc>
          <w:tcPr>
            <w:tcW w:w="567" w:type="dxa"/>
            <w:vAlign w:val="center"/>
          </w:tcPr>
          <w:p>
            <w:pPr>
              <w:pStyle w:val="0"/>
              <w:jc w:val="center"/>
            </w:pPr>
            <w:r>
              <w:rPr>
                <w:sz w:val="20"/>
              </w:rPr>
              <w:t xml:space="preserve">17</w:t>
            </w:r>
          </w:p>
        </w:tc>
        <w:tc>
          <w:tcPr>
            <w:tcW w:w="708" w:type="dxa"/>
            <w:vAlign w:val="center"/>
          </w:tcPr>
          <w:p>
            <w:pPr>
              <w:pStyle w:val="0"/>
              <w:jc w:val="center"/>
            </w:pPr>
            <w:r>
              <w:rPr>
                <w:sz w:val="20"/>
              </w:rPr>
              <w:t xml:space="preserve">18</w:t>
            </w:r>
          </w:p>
        </w:tc>
        <w:tc>
          <w:tcPr>
            <w:tcW w:w="1527" w:type="dxa"/>
            <w:vAlign w:val="center"/>
          </w:tcPr>
          <w:p>
            <w:pPr>
              <w:pStyle w:val="0"/>
              <w:jc w:val="center"/>
            </w:pPr>
            <w:r>
              <w:rPr>
                <w:sz w:val="20"/>
              </w:rPr>
              <w:t xml:space="preserve">19</w:t>
            </w:r>
          </w:p>
        </w:tc>
      </w:tr>
      <w:tr>
        <w:tc>
          <w:tcPr>
            <w:tcW w:w="568" w:type="dxa"/>
            <w:vAlign w:val="center"/>
          </w:tcPr>
          <w:p>
            <w:pPr>
              <w:pStyle w:val="0"/>
              <w:jc w:val="center"/>
            </w:pPr>
            <w:r>
              <w:rPr>
                <w:sz w:val="20"/>
              </w:rPr>
              <w:t xml:space="preserve">1</w:t>
            </w:r>
          </w:p>
        </w:tc>
        <w:tc>
          <w:tcPr>
            <w:tcW w:w="2098" w:type="dxa"/>
            <w:vAlign w:val="center"/>
          </w:tcPr>
          <w:p>
            <w:pPr>
              <w:pStyle w:val="0"/>
            </w:pPr>
            <w:r>
              <w:rPr>
                <w:sz w:val="20"/>
              </w:rPr>
            </w:r>
          </w:p>
        </w:tc>
        <w:tc>
          <w:tcPr>
            <w:tcW w:w="1928" w:type="dxa"/>
            <w:vAlign w:val="center"/>
          </w:tcPr>
          <w:p>
            <w:pPr>
              <w:pStyle w:val="0"/>
            </w:pPr>
            <w:r>
              <w:rPr>
                <w:sz w:val="20"/>
              </w:rPr>
            </w:r>
          </w:p>
        </w:tc>
        <w:tc>
          <w:tcPr>
            <w:tcW w:w="794"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80" w:type="dxa"/>
            <w:vAlign w:val="center"/>
          </w:tcPr>
          <w:p>
            <w:pPr>
              <w:pStyle w:val="0"/>
            </w:pPr>
            <w:r>
              <w:rPr>
                <w:sz w:val="20"/>
              </w:rPr>
            </w:r>
          </w:p>
        </w:tc>
        <w:tc>
          <w:tcPr>
            <w:tcW w:w="430" w:type="dxa"/>
            <w:vAlign w:val="center"/>
          </w:tcPr>
          <w:p>
            <w:pPr>
              <w:pStyle w:val="0"/>
            </w:pPr>
            <w:r>
              <w:rPr>
                <w:sz w:val="20"/>
              </w:rPr>
            </w:r>
          </w:p>
        </w:tc>
        <w:tc>
          <w:tcPr>
            <w:tcW w:w="550"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624" w:type="dxa"/>
            <w:vAlign w:val="center"/>
          </w:tcPr>
          <w:p>
            <w:pPr>
              <w:pStyle w:val="0"/>
            </w:pPr>
            <w:r>
              <w:rPr>
                <w:sz w:val="20"/>
              </w:rPr>
            </w:r>
          </w:p>
        </w:tc>
        <w:tc>
          <w:tcPr>
            <w:tcW w:w="567" w:type="dxa"/>
          </w:tcPr>
          <w:p>
            <w:pPr>
              <w:pStyle w:val="0"/>
            </w:pPr>
            <w:r>
              <w:rPr>
                <w:sz w:val="20"/>
              </w:rPr>
            </w:r>
          </w:p>
        </w:tc>
        <w:tc>
          <w:tcPr>
            <w:tcW w:w="709" w:type="dxa"/>
          </w:tcPr>
          <w:p>
            <w:pPr>
              <w:pStyle w:val="0"/>
            </w:pPr>
            <w:r>
              <w:rPr>
                <w:sz w:val="20"/>
              </w:rPr>
            </w:r>
          </w:p>
        </w:tc>
        <w:tc>
          <w:tcPr>
            <w:tcW w:w="567" w:type="dxa"/>
          </w:tcPr>
          <w:p>
            <w:pPr>
              <w:pStyle w:val="0"/>
            </w:pPr>
            <w:r>
              <w:rPr>
                <w:sz w:val="20"/>
              </w:rPr>
            </w:r>
          </w:p>
        </w:tc>
        <w:tc>
          <w:tcPr>
            <w:tcW w:w="708" w:type="dxa"/>
          </w:tcPr>
          <w:p>
            <w:pPr>
              <w:pStyle w:val="0"/>
            </w:pPr>
            <w:r>
              <w:rPr>
                <w:sz w:val="20"/>
              </w:rPr>
            </w:r>
          </w:p>
        </w:tc>
        <w:tc>
          <w:tcPr>
            <w:tcW w:w="1527" w:type="dxa"/>
            <w:vAlign w:val="center"/>
          </w:tcPr>
          <w:p>
            <w:pPr>
              <w:pStyle w:val="0"/>
            </w:pPr>
            <w:r>
              <w:rPr>
                <w:sz w:val="20"/>
              </w:rPr>
            </w:r>
          </w:p>
        </w:tc>
      </w:tr>
      <w:tr>
        <w:tc>
          <w:tcPr>
            <w:tcW w:w="568" w:type="dxa"/>
            <w:vAlign w:val="center"/>
          </w:tcPr>
          <w:p>
            <w:pPr>
              <w:pStyle w:val="0"/>
              <w:jc w:val="center"/>
            </w:pPr>
            <w:r>
              <w:rPr>
                <w:sz w:val="20"/>
              </w:rPr>
              <w:t xml:space="preserve">2</w:t>
            </w:r>
          </w:p>
        </w:tc>
        <w:tc>
          <w:tcPr>
            <w:tcW w:w="2098" w:type="dxa"/>
            <w:vAlign w:val="center"/>
          </w:tcPr>
          <w:p>
            <w:pPr>
              <w:pStyle w:val="0"/>
            </w:pPr>
            <w:r>
              <w:rPr>
                <w:sz w:val="20"/>
              </w:rPr>
            </w:r>
          </w:p>
        </w:tc>
        <w:tc>
          <w:tcPr>
            <w:tcW w:w="1928" w:type="dxa"/>
            <w:vAlign w:val="center"/>
          </w:tcPr>
          <w:p>
            <w:pPr>
              <w:pStyle w:val="0"/>
            </w:pPr>
            <w:r>
              <w:rPr>
                <w:sz w:val="20"/>
              </w:rPr>
            </w:r>
          </w:p>
        </w:tc>
        <w:tc>
          <w:tcPr>
            <w:tcW w:w="794"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80" w:type="dxa"/>
            <w:vAlign w:val="center"/>
          </w:tcPr>
          <w:p>
            <w:pPr>
              <w:pStyle w:val="0"/>
            </w:pPr>
            <w:r>
              <w:rPr>
                <w:sz w:val="20"/>
              </w:rPr>
            </w:r>
          </w:p>
        </w:tc>
        <w:tc>
          <w:tcPr>
            <w:tcW w:w="430" w:type="dxa"/>
            <w:vAlign w:val="center"/>
          </w:tcPr>
          <w:p>
            <w:pPr>
              <w:pStyle w:val="0"/>
            </w:pPr>
            <w:r>
              <w:rPr>
                <w:sz w:val="20"/>
              </w:rPr>
            </w:r>
          </w:p>
        </w:tc>
        <w:tc>
          <w:tcPr>
            <w:tcW w:w="550"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624" w:type="dxa"/>
            <w:vAlign w:val="center"/>
          </w:tcPr>
          <w:p>
            <w:pPr>
              <w:pStyle w:val="0"/>
            </w:pPr>
            <w:r>
              <w:rPr>
                <w:sz w:val="20"/>
              </w:rPr>
            </w:r>
          </w:p>
        </w:tc>
        <w:tc>
          <w:tcPr>
            <w:tcW w:w="567" w:type="dxa"/>
          </w:tcPr>
          <w:p>
            <w:pPr>
              <w:pStyle w:val="0"/>
            </w:pPr>
            <w:r>
              <w:rPr>
                <w:sz w:val="20"/>
              </w:rPr>
            </w:r>
          </w:p>
        </w:tc>
        <w:tc>
          <w:tcPr>
            <w:tcW w:w="709" w:type="dxa"/>
          </w:tcPr>
          <w:p>
            <w:pPr>
              <w:pStyle w:val="0"/>
            </w:pPr>
            <w:r>
              <w:rPr>
                <w:sz w:val="20"/>
              </w:rPr>
            </w:r>
          </w:p>
        </w:tc>
        <w:tc>
          <w:tcPr>
            <w:tcW w:w="567" w:type="dxa"/>
          </w:tcPr>
          <w:p>
            <w:pPr>
              <w:pStyle w:val="0"/>
            </w:pPr>
            <w:r>
              <w:rPr>
                <w:sz w:val="20"/>
              </w:rPr>
            </w:r>
          </w:p>
        </w:tc>
        <w:tc>
          <w:tcPr>
            <w:tcW w:w="708" w:type="dxa"/>
          </w:tcPr>
          <w:p>
            <w:pPr>
              <w:pStyle w:val="0"/>
            </w:pPr>
            <w:r>
              <w:rPr>
                <w:sz w:val="20"/>
              </w:rPr>
            </w:r>
          </w:p>
        </w:tc>
        <w:tc>
          <w:tcPr>
            <w:tcW w:w="1527" w:type="dxa"/>
            <w:vAlign w:val="center"/>
          </w:tcPr>
          <w:p>
            <w:pPr>
              <w:pStyle w:val="0"/>
            </w:pPr>
            <w:r>
              <w:rPr>
                <w:sz w:val="20"/>
              </w:rPr>
            </w:r>
          </w:p>
        </w:tc>
      </w:tr>
      <w:tr>
        <w:tc>
          <w:tcPr>
            <w:tcW w:w="568" w:type="dxa"/>
            <w:vAlign w:val="center"/>
          </w:tcPr>
          <w:p>
            <w:pPr>
              <w:pStyle w:val="0"/>
              <w:jc w:val="center"/>
            </w:pPr>
            <w:r>
              <w:rPr>
                <w:sz w:val="20"/>
              </w:rPr>
              <w:t xml:space="preserve">3</w:t>
            </w:r>
          </w:p>
        </w:tc>
        <w:tc>
          <w:tcPr>
            <w:tcW w:w="2098" w:type="dxa"/>
            <w:vAlign w:val="center"/>
          </w:tcPr>
          <w:p>
            <w:pPr>
              <w:pStyle w:val="0"/>
            </w:pPr>
            <w:r>
              <w:rPr>
                <w:sz w:val="20"/>
              </w:rPr>
            </w:r>
          </w:p>
        </w:tc>
        <w:tc>
          <w:tcPr>
            <w:tcW w:w="1928" w:type="dxa"/>
            <w:vAlign w:val="center"/>
          </w:tcPr>
          <w:p>
            <w:pPr>
              <w:pStyle w:val="0"/>
            </w:pPr>
            <w:r>
              <w:rPr>
                <w:sz w:val="20"/>
              </w:rPr>
            </w:r>
          </w:p>
        </w:tc>
        <w:tc>
          <w:tcPr>
            <w:tcW w:w="794"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80" w:type="dxa"/>
            <w:vAlign w:val="center"/>
          </w:tcPr>
          <w:p>
            <w:pPr>
              <w:pStyle w:val="0"/>
            </w:pPr>
            <w:r>
              <w:rPr>
                <w:sz w:val="20"/>
              </w:rPr>
            </w:r>
          </w:p>
        </w:tc>
        <w:tc>
          <w:tcPr>
            <w:tcW w:w="430" w:type="dxa"/>
            <w:vAlign w:val="center"/>
          </w:tcPr>
          <w:p>
            <w:pPr>
              <w:pStyle w:val="0"/>
            </w:pPr>
            <w:r>
              <w:rPr>
                <w:sz w:val="20"/>
              </w:rPr>
            </w:r>
          </w:p>
        </w:tc>
        <w:tc>
          <w:tcPr>
            <w:tcW w:w="550"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624" w:type="dxa"/>
            <w:vAlign w:val="center"/>
          </w:tcPr>
          <w:p>
            <w:pPr>
              <w:pStyle w:val="0"/>
            </w:pPr>
            <w:r>
              <w:rPr>
                <w:sz w:val="20"/>
              </w:rPr>
            </w:r>
          </w:p>
        </w:tc>
        <w:tc>
          <w:tcPr>
            <w:tcW w:w="567" w:type="dxa"/>
          </w:tcPr>
          <w:p>
            <w:pPr>
              <w:pStyle w:val="0"/>
            </w:pPr>
            <w:r>
              <w:rPr>
                <w:sz w:val="20"/>
              </w:rPr>
            </w:r>
          </w:p>
        </w:tc>
        <w:tc>
          <w:tcPr>
            <w:tcW w:w="709" w:type="dxa"/>
          </w:tcPr>
          <w:p>
            <w:pPr>
              <w:pStyle w:val="0"/>
            </w:pPr>
            <w:r>
              <w:rPr>
                <w:sz w:val="20"/>
              </w:rPr>
            </w:r>
          </w:p>
        </w:tc>
        <w:tc>
          <w:tcPr>
            <w:tcW w:w="567" w:type="dxa"/>
          </w:tcPr>
          <w:p>
            <w:pPr>
              <w:pStyle w:val="0"/>
            </w:pPr>
            <w:r>
              <w:rPr>
                <w:sz w:val="20"/>
              </w:rPr>
            </w:r>
          </w:p>
        </w:tc>
        <w:tc>
          <w:tcPr>
            <w:tcW w:w="708" w:type="dxa"/>
          </w:tcPr>
          <w:p>
            <w:pPr>
              <w:pStyle w:val="0"/>
            </w:pPr>
            <w:r>
              <w:rPr>
                <w:sz w:val="20"/>
              </w:rPr>
            </w:r>
          </w:p>
        </w:tc>
        <w:tc>
          <w:tcPr>
            <w:tcW w:w="1527" w:type="dxa"/>
            <w:vAlign w:val="center"/>
          </w:tcPr>
          <w:p>
            <w:pPr>
              <w:pStyle w:val="0"/>
            </w:pPr>
            <w:r>
              <w:rPr>
                <w:sz w:val="20"/>
              </w:rPr>
            </w:r>
          </w:p>
        </w:tc>
      </w:tr>
      <w:tr>
        <w:tc>
          <w:tcPr>
            <w:tcW w:w="568" w:type="dxa"/>
            <w:vAlign w:val="center"/>
          </w:tcPr>
          <w:p>
            <w:pPr>
              <w:pStyle w:val="0"/>
              <w:jc w:val="center"/>
            </w:pPr>
            <w:r>
              <w:rPr>
                <w:sz w:val="20"/>
              </w:rPr>
              <w:t xml:space="preserve">...</w:t>
            </w:r>
          </w:p>
        </w:tc>
        <w:tc>
          <w:tcPr>
            <w:tcW w:w="2098" w:type="dxa"/>
            <w:vAlign w:val="center"/>
          </w:tcPr>
          <w:p>
            <w:pPr>
              <w:pStyle w:val="0"/>
            </w:pPr>
            <w:r>
              <w:rPr>
                <w:sz w:val="20"/>
              </w:rPr>
            </w:r>
          </w:p>
        </w:tc>
        <w:tc>
          <w:tcPr>
            <w:tcW w:w="1928" w:type="dxa"/>
            <w:vAlign w:val="center"/>
          </w:tcPr>
          <w:p>
            <w:pPr>
              <w:pStyle w:val="0"/>
            </w:pPr>
            <w:r>
              <w:rPr>
                <w:sz w:val="20"/>
              </w:rPr>
            </w:r>
          </w:p>
        </w:tc>
        <w:tc>
          <w:tcPr>
            <w:tcW w:w="794"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80" w:type="dxa"/>
            <w:vAlign w:val="center"/>
          </w:tcPr>
          <w:p>
            <w:pPr>
              <w:pStyle w:val="0"/>
            </w:pPr>
            <w:r>
              <w:rPr>
                <w:sz w:val="20"/>
              </w:rPr>
            </w:r>
          </w:p>
        </w:tc>
        <w:tc>
          <w:tcPr>
            <w:tcW w:w="430" w:type="dxa"/>
            <w:vAlign w:val="center"/>
          </w:tcPr>
          <w:p>
            <w:pPr>
              <w:pStyle w:val="0"/>
            </w:pPr>
            <w:r>
              <w:rPr>
                <w:sz w:val="20"/>
              </w:rPr>
            </w:r>
          </w:p>
        </w:tc>
        <w:tc>
          <w:tcPr>
            <w:tcW w:w="550"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624" w:type="dxa"/>
            <w:vAlign w:val="center"/>
          </w:tcPr>
          <w:p>
            <w:pPr>
              <w:pStyle w:val="0"/>
            </w:pPr>
            <w:r>
              <w:rPr>
                <w:sz w:val="20"/>
              </w:rPr>
            </w:r>
          </w:p>
        </w:tc>
        <w:tc>
          <w:tcPr>
            <w:tcW w:w="567" w:type="dxa"/>
          </w:tcPr>
          <w:p>
            <w:pPr>
              <w:pStyle w:val="0"/>
            </w:pPr>
            <w:r>
              <w:rPr>
                <w:sz w:val="20"/>
              </w:rPr>
            </w:r>
          </w:p>
        </w:tc>
        <w:tc>
          <w:tcPr>
            <w:tcW w:w="709" w:type="dxa"/>
          </w:tcPr>
          <w:p>
            <w:pPr>
              <w:pStyle w:val="0"/>
            </w:pPr>
            <w:r>
              <w:rPr>
                <w:sz w:val="20"/>
              </w:rPr>
            </w:r>
          </w:p>
        </w:tc>
        <w:tc>
          <w:tcPr>
            <w:tcW w:w="567" w:type="dxa"/>
          </w:tcPr>
          <w:p>
            <w:pPr>
              <w:pStyle w:val="0"/>
            </w:pPr>
            <w:r>
              <w:rPr>
                <w:sz w:val="20"/>
              </w:rPr>
            </w:r>
          </w:p>
        </w:tc>
        <w:tc>
          <w:tcPr>
            <w:tcW w:w="708" w:type="dxa"/>
          </w:tcPr>
          <w:p>
            <w:pPr>
              <w:pStyle w:val="0"/>
            </w:pPr>
            <w:r>
              <w:rPr>
                <w:sz w:val="20"/>
              </w:rPr>
            </w:r>
          </w:p>
        </w:tc>
        <w:tc>
          <w:tcPr>
            <w:tcW w:w="1527" w:type="dxa"/>
            <w:vAlign w:val="center"/>
          </w:tcPr>
          <w:p>
            <w:pPr>
              <w:pStyle w:val="0"/>
            </w:pPr>
            <w:r>
              <w:rPr>
                <w:sz w:val="20"/>
              </w:rPr>
            </w:r>
          </w:p>
        </w:tc>
      </w:tr>
    </w:tbl>
    <w:p>
      <w:pPr>
        <w:pStyle w:val="0"/>
        <w:jc w:val="both"/>
      </w:pPr>
      <w:r>
        <w:rPr>
          <w:sz w:val="20"/>
        </w:rPr>
      </w:r>
    </w:p>
    <w:p>
      <w:pPr>
        <w:pStyle w:val="1"/>
        <w:jc w:val="both"/>
      </w:pPr>
      <w:r>
        <w:rPr>
          <w:sz w:val="20"/>
        </w:rPr>
        <w:t xml:space="preserve">    Председатель экспертной группы ________________/_____________________/</w:t>
      </w:r>
    </w:p>
    <w:p>
      <w:pPr>
        <w:pStyle w:val="1"/>
        <w:jc w:val="both"/>
      </w:pPr>
      <w:r>
        <w:rPr>
          <w:sz w:val="20"/>
        </w:rPr>
        <w:t xml:space="preserve">    Члены экспертной группы        ________________/_____________________/</w:t>
      </w:r>
    </w:p>
    <w:p>
      <w:pPr>
        <w:pStyle w:val="1"/>
        <w:jc w:val="both"/>
      </w:pPr>
      <w:r>
        <w:rPr>
          <w:sz w:val="20"/>
        </w:rPr>
        <w:t xml:space="preserve">                                   ________________/_____________________/</w:t>
      </w:r>
    </w:p>
    <w:p>
      <w:pPr>
        <w:pStyle w:val="1"/>
        <w:jc w:val="both"/>
      </w:pPr>
      <w:r>
        <w:rPr>
          <w:sz w:val="20"/>
        </w:rPr>
        <w:t xml:space="preserve">                                   ________________/_____________________/</w:t>
      </w:r>
    </w:p>
    <w:p>
      <w:pPr>
        <w:sectPr>
          <w:headerReference w:type="default" r:id="rId277"/>
          <w:headerReference w:type="first" r:id="rId277"/>
          <w:footerReference w:type="default" r:id="rId278"/>
          <w:footerReference w:type="first" r:id="rId278"/>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8</w:t>
      </w:r>
    </w:p>
    <w:p>
      <w:pPr>
        <w:pStyle w:val="0"/>
        <w:jc w:val="right"/>
      </w:pPr>
      <w:r>
        <w:rPr>
          <w:sz w:val="20"/>
        </w:rPr>
        <w:t xml:space="preserve">к Порядку</w:t>
      </w:r>
    </w:p>
    <w:p>
      <w:pPr>
        <w:pStyle w:val="0"/>
        <w:jc w:val="right"/>
      </w:pPr>
      <w:r>
        <w:rPr>
          <w:sz w:val="20"/>
        </w:rPr>
        <w:t xml:space="preserve">предоставления субсидий из бюджета</w:t>
      </w:r>
    </w:p>
    <w:p>
      <w:pPr>
        <w:pStyle w:val="0"/>
        <w:jc w:val="right"/>
      </w:pPr>
      <w:r>
        <w:rPr>
          <w:sz w:val="20"/>
        </w:rPr>
        <w:t xml:space="preserve">Пермского края субъектам малого</w:t>
      </w:r>
    </w:p>
    <w:p>
      <w:pPr>
        <w:pStyle w:val="0"/>
        <w:jc w:val="right"/>
      </w:pPr>
      <w:r>
        <w:rPr>
          <w:sz w:val="20"/>
        </w:rPr>
        <w:t xml:space="preserve">и среднего предпринимательства</w:t>
      </w:r>
    </w:p>
    <w:p>
      <w:pPr>
        <w:pStyle w:val="0"/>
        <w:jc w:val="right"/>
      </w:pPr>
      <w:r>
        <w:rPr>
          <w:sz w:val="20"/>
        </w:rPr>
        <w:t xml:space="preserve">в целях возмещения части затрат,</w:t>
      </w:r>
    </w:p>
    <w:p>
      <w:pPr>
        <w:pStyle w:val="0"/>
        <w:jc w:val="right"/>
      </w:pPr>
      <w:r>
        <w:rPr>
          <w:sz w:val="20"/>
        </w:rPr>
        <w:t xml:space="preserve">связанных с осуществлением ими</w:t>
      </w:r>
    </w:p>
    <w:p>
      <w:pPr>
        <w:pStyle w:val="0"/>
        <w:jc w:val="right"/>
      </w:pPr>
      <w:r>
        <w:rPr>
          <w:sz w:val="20"/>
        </w:rPr>
        <w:t xml:space="preserve">предпринимательской деятельности</w:t>
      </w:r>
    </w:p>
    <w:p>
      <w:pPr>
        <w:pStyle w:val="0"/>
        <w:jc w:val="both"/>
      </w:pPr>
      <w:r>
        <w:rPr>
          <w:sz w:val="20"/>
        </w:rPr>
      </w:r>
    </w:p>
    <w:p>
      <w:pPr>
        <w:pStyle w:val="0"/>
        <w:jc w:val="center"/>
      </w:pPr>
      <w:r>
        <w:rPr>
          <w:sz w:val="20"/>
        </w:rPr>
        <w:t xml:space="preserve">ОТЧЕТ</w:t>
      </w:r>
    </w:p>
    <w:p>
      <w:pPr>
        <w:pStyle w:val="0"/>
        <w:jc w:val="center"/>
      </w:pPr>
      <w:r>
        <w:rPr>
          <w:sz w:val="20"/>
        </w:rPr>
        <w:t xml:space="preserve">о достижении значений результатов предоставления субсидии</w:t>
      </w:r>
    </w:p>
    <w:p>
      <w:pPr>
        <w:pStyle w:val="0"/>
        <w:jc w:val="both"/>
      </w:pPr>
      <w:r>
        <w:rPr>
          <w:sz w:val="20"/>
        </w:rPr>
      </w:r>
    </w:p>
    <w:p>
      <w:pPr>
        <w:pStyle w:val="0"/>
        <w:ind w:firstLine="540"/>
        <w:jc w:val="both"/>
      </w:pPr>
      <w:r>
        <w:rPr>
          <w:sz w:val="20"/>
        </w:rPr>
        <w:t xml:space="preserve">Утратил силу. - </w:t>
      </w:r>
      <w:hyperlink w:history="0" r:id="rId286" w:tooltip="Постановление Правительства Пермского края от 30.12.2020 N 1068-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w:t>
        </w:r>
      </w:hyperlink>
      <w:r>
        <w:rPr>
          <w:sz w:val="20"/>
        </w:rPr>
        <w:t xml:space="preserve"> Правительства Пермского края от 30.12.2020 N 1068-п.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9</w:t>
      </w:r>
    </w:p>
    <w:p>
      <w:pPr>
        <w:pStyle w:val="0"/>
        <w:jc w:val="right"/>
      </w:pPr>
      <w:r>
        <w:rPr>
          <w:sz w:val="20"/>
        </w:rPr>
        <w:t xml:space="preserve">к Порядку</w:t>
      </w:r>
    </w:p>
    <w:p>
      <w:pPr>
        <w:pStyle w:val="0"/>
        <w:jc w:val="right"/>
      </w:pPr>
      <w:r>
        <w:rPr>
          <w:sz w:val="20"/>
        </w:rPr>
        <w:t xml:space="preserve">предоставления субсидий из бюджета</w:t>
      </w:r>
    </w:p>
    <w:p>
      <w:pPr>
        <w:pStyle w:val="0"/>
        <w:jc w:val="right"/>
      </w:pPr>
      <w:r>
        <w:rPr>
          <w:sz w:val="20"/>
        </w:rPr>
        <w:t xml:space="preserve">Пермского края субъектам малого</w:t>
      </w:r>
    </w:p>
    <w:p>
      <w:pPr>
        <w:pStyle w:val="0"/>
        <w:jc w:val="right"/>
      </w:pPr>
      <w:r>
        <w:rPr>
          <w:sz w:val="20"/>
        </w:rPr>
        <w:t xml:space="preserve">и среднего предпринимательства</w:t>
      </w:r>
    </w:p>
    <w:p>
      <w:pPr>
        <w:pStyle w:val="0"/>
        <w:jc w:val="right"/>
      </w:pPr>
      <w:r>
        <w:rPr>
          <w:sz w:val="20"/>
        </w:rPr>
        <w:t xml:space="preserve">в целях возмещения части затрат,</w:t>
      </w:r>
    </w:p>
    <w:p>
      <w:pPr>
        <w:pStyle w:val="0"/>
        <w:jc w:val="right"/>
      </w:pPr>
      <w:r>
        <w:rPr>
          <w:sz w:val="20"/>
        </w:rPr>
        <w:t xml:space="preserve">связанных с осуществлением ими</w:t>
      </w:r>
    </w:p>
    <w:p>
      <w:pPr>
        <w:pStyle w:val="0"/>
        <w:jc w:val="right"/>
      </w:pPr>
      <w:r>
        <w:rPr>
          <w:sz w:val="20"/>
        </w:rPr>
        <w:t xml:space="preserve">предпринимательской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87" w:tooltip="Постановление Правительства Пермского края от 20.10.2021 N 79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Постановлением</w:t>
              </w:r>
            </w:hyperlink>
            <w:r>
              <w:rPr>
                <w:sz w:val="20"/>
                <w:color w:val="392c69"/>
              </w:rPr>
              <w:t xml:space="preserve"> Правительства Пермского края от 20.10.2021 N 793-п)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1540" w:name="P1540"/>
    <w:bookmarkEnd w:id="1540"/>
    <w:p>
      <w:pPr>
        <w:pStyle w:val="0"/>
        <w:jc w:val="center"/>
      </w:pPr>
      <w:r>
        <w:rPr>
          <w:sz w:val="20"/>
        </w:rPr>
        <w:t xml:space="preserve">КРИТЕРИИ ОЦЕНКИ</w:t>
      </w:r>
    </w:p>
    <w:p>
      <w:pPr>
        <w:pStyle w:val="0"/>
        <w:jc w:val="center"/>
      </w:pPr>
      <w:r>
        <w:rPr>
          <w:sz w:val="20"/>
        </w:rPr>
        <w:t xml:space="preserve">бизнес-проекта (инвестиционного проекта) субъекта малого</w:t>
      </w:r>
    </w:p>
    <w:p>
      <w:pPr>
        <w:pStyle w:val="0"/>
        <w:jc w:val="center"/>
      </w:pPr>
      <w:r>
        <w:rPr>
          <w:sz w:val="20"/>
        </w:rPr>
        <w:t xml:space="preserve">и среднего предпринимательства комиссией по отбору</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2551"/>
        <w:gridCol w:w="4025"/>
        <w:gridCol w:w="850"/>
        <w:gridCol w:w="1134"/>
      </w:tblGrid>
      <w:tr>
        <w:tc>
          <w:tcPr>
            <w:tcW w:w="510" w:type="dxa"/>
            <w:vAlign w:val="center"/>
          </w:tcPr>
          <w:p>
            <w:pPr>
              <w:pStyle w:val="0"/>
              <w:jc w:val="center"/>
            </w:pPr>
            <w:r>
              <w:rPr>
                <w:sz w:val="20"/>
              </w:rPr>
              <w:t xml:space="preserve">N п/п</w:t>
            </w:r>
          </w:p>
        </w:tc>
        <w:tc>
          <w:tcPr>
            <w:tcW w:w="2551" w:type="dxa"/>
            <w:vAlign w:val="center"/>
          </w:tcPr>
          <w:p>
            <w:pPr>
              <w:pStyle w:val="0"/>
              <w:jc w:val="center"/>
            </w:pPr>
            <w:r>
              <w:rPr>
                <w:sz w:val="20"/>
              </w:rPr>
              <w:t xml:space="preserve">Наименование критерия оценки бизнес-проекта (инвестиционного проекта) (далее - проект)</w:t>
            </w:r>
          </w:p>
        </w:tc>
        <w:tc>
          <w:tcPr>
            <w:tcW w:w="4025" w:type="dxa"/>
            <w:vAlign w:val="center"/>
          </w:tcPr>
          <w:p>
            <w:pPr>
              <w:pStyle w:val="0"/>
              <w:jc w:val="center"/>
            </w:pPr>
            <w:r>
              <w:rPr>
                <w:sz w:val="20"/>
              </w:rPr>
              <w:t xml:space="preserve">Характеристика критерия</w:t>
            </w:r>
          </w:p>
        </w:tc>
        <w:tc>
          <w:tcPr>
            <w:tcW w:w="850" w:type="dxa"/>
            <w:vAlign w:val="center"/>
          </w:tcPr>
          <w:p>
            <w:pPr>
              <w:pStyle w:val="0"/>
              <w:jc w:val="center"/>
            </w:pPr>
            <w:r>
              <w:rPr>
                <w:sz w:val="20"/>
              </w:rPr>
              <w:t xml:space="preserve">Балл</w:t>
            </w:r>
          </w:p>
        </w:tc>
        <w:tc>
          <w:tcPr>
            <w:tcW w:w="1134" w:type="dxa"/>
            <w:vAlign w:val="center"/>
          </w:tcPr>
          <w:p>
            <w:pPr>
              <w:pStyle w:val="0"/>
              <w:jc w:val="center"/>
            </w:pPr>
            <w:r>
              <w:rPr>
                <w:sz w:val="20"/>
              </w:rPr>
              <w:t xml:space="preserve">Весовое значение </w:t>
            </w:r>
            <w:hyperlink w:history="0" w:anchor="P1634" w:tooltip="&lt;*&gt; Балл по каждому критерию оценки бизнес-проекта (инвестиционного проекта) определяется как произведение графы 4 и графы 5.">
              <w:r>
                <w:rPr>
                  <w:sz w:val="20"/>
                  <w:color w:val="0000ff"/>
                </w:rPr>
                <w:t xml:space="preserve">&lt;*&gt;</w:t>
              </w:r>
            </w:hyperlink>
          </w:p>
        </w:tc>
      </w:tr>
      <w:tr>
        <w:tc>
          <w:tcPr>
            <w:tcW w:w="510" w:type="dxa"/>
            <w:vAlign w:val="center"/>
          </w:tcPr>
          <w:p>
            <w:pPr>
              <w:pStyle w:val="0"/>
              <w:jc w:val="center"/>
            </w:pPr>
            <w:r>
              <w:rPr>
                <w:sz w:val="20"/>
              </w:rPr>
              <w:t xml:space="preserve">1</w:t>
            </w:r>
          </w:p>
        </w:tc>
        <w:tc>
          <w:tcPr>
            <w:tcW w:w="2551" w:type="dxa"/>
            <w:vAlign w:val="center"/>
          </w:tcPr>
          <w:p>
            <w:pPr>
              <w:pStyle w:val="0"/>
              <w:jc w:val="center"/>
            </w:pPr>
            <w:r>
              <w:rPr>
                <w:sz w:val="20"/>
              </w:rPr>
              <w:t xml:space="preserve">2</w:t>
            </w:r>
          </w:p>
        </w:tc>
        <w:tc>
          <w:tcPr>
            <w:tcW w:w="4025" w:type="dxa"/>
            <w:vAlign w:val="center"/>
          </w:tcPr>
          <w:p>
            <w:pPr>
              <w:pStyle w:val="0"/>
              <w:jc w:val="center"/>
            </w:pPr>
            <w:r>
              <w:rPr>
                <w:sz w:val="20"/>
              </w:rPr>
              <w:t xml:space="preserve">3</w:t>
            </w:r>
          </w:p>
        </w:tc>
        <w:tc>
          <w:tcPr>
            <w:tcW w:w="850" w:type="dxa"/>
            <w:vAlign w:val="center"/>
          </w:tcPr>
          <w:p>
            <w:pPr>
              <w:pStyle w:val="0"/>
              <w:jc w:val="center"/>
            </w:pPr>
            <w:r>
              <w:rPr>
                <w:sz w:val="20"/>
              </w:rPr>
              <w:t xml:space="preserve">4</w:t>
            </w:r>
          </w:p>
        </w:tc>
        <w:tc>
          <w:tcPr>
            <w:tcW w:w="1134" w:type="dxa"/>
            <w:vAlign w:val="center"/>
          </w:tcPr>
          <w:p>
            <w:pPr>
              <w:pStyle w:val="0"/>
              <w:jc w:val="center"/>
            </w:pPr>
            <w:r>
              <w:rPr>
                <w:sz w:val="20"/>
              </w:rPr>
              <w:t xml:space="preserve">5</w:t>
            </w:r>
          </w:p>
        </w:tc>
      </w:tr>
      <w:tr>
        <w:tc>
          <w:tcPr>
            <w:tcW w:w="510" w:type="dxa"/>
          </w:tcPr>
          <w:p>
            <w:pPr>
              <w:pStyle w:val="0"/>
              <w:jc w:val="center"/>
            </w:pPr>
            <w:r>
              <w:rPr>
                <w:sz w:val="20"/>
              </w:rPr>
              <w:t xml:space="preserve">1</w:t>
            </w:r>
          </w:p>
        </w:tc>
        <w:tc>
          <w:tcPr>
            <w:tcW w:w="2551" w:type="dxa"/>
          </w:tcPr>
          <w:p>
            <w:pPr>
              <w:pStyle w:val="0"/>
            </w:pPr>
            <w:r>
              <w:rPr>
                <w:sz w:val="20"/>
              </w:rPr>
              <w:t xml:space="preserve">Сумма среднего балла, набранного по итогам оценки бизнес-проекта (инвестиционного проекта) экспертной группой</w:t>
            </w:r>
          </w:p>
        </w:tc>
        <w:tc>
          <w:tcPr>
            <w:tcW w:w="4025" w:type="dxa"/>
          </w:tcPr>
          <w:p>
            <w:pPr>
              <w:pStyle w:val="0"/>
            </w:pPr>
            <w:r>
              <w:rPr>
                <w:sz w:val="20"/>
              </w:rPr>
              <w:t xml:space="preserve">Проставляется в соответствии со сводным оценочным листом бизнес-проектов (инвестиционных проектов) субъектов малого и среднего предпринимательства, представленных для получения субсидий на возмещение части затрат, связанных с осуществлением ими предпринимательской деятельности</w:t>
            </w:r>
          </w:p>
        </w:tc>
        <w:tc>
          <w:tcPr>
            <w:tcW w:w="850" w:type="dxa"/>
          </w:tcPr>
          <w:p>
            <w:pPr>
              <w:pStyle w:val="0"/>
              <w:jc w:val="center"/>
            </w:pPr>
            <w:r>
              <w:rPr>
                <w:sz w:val="20"/>
              </w:rPr>
              <w:t xml:space="preserve">От 25 до 50</w:t>
            </w:r>
          </w:p>
        </w:tc>
        <w:tc>
          <w:tcPr>
            <w:tcW w:w="1134" w:type="dxa"/>
          </w:tcPr>
          <w:p>
            <w:pPr>
              <w:pStyle w:val="0"/>
              <w:jc w:val="center"/>
            </w:pPr>
            <w:r>
              <w:rPr>
                <w:sz w:val="20"/>
              </w:rPr>
              <w:t xml:space="preserve">0,2</w:t>
            </w:r>
          </w:p>
        </w:tc>
      </w:tr>
      <w:tr>
        <w:tc>
          <w:tcPr>
            <w:tcW w:w="510" w:type="dxa"/>
            <w:vMerge w:val="restart"/>
          </w:tcPr>
          <w:p>
            <w:pPr>
              <w:pStyle w:val="0"/>
              <w:jc w:val="center"/>
            </w:pPr>
            <w:r>
              <w:rPr>
                <w:sz w:val="20"/>
              </w:rPr>
              <w:t xml:space="preserve">2</w:t>
            </w:r>
          </w:p>
        </w:tc>
        <w:tc>
          <w:tcPr>
            <w:tcW w:w="2551" w:type="dxa"/>
            <w:vMerge w:val="restart"/>
          </w:tcPr>
          <w:p>
            <w:pPr>
              <w:pStyle w:val="0"/>
            </w:pPr>
            <w:r>
              <w:rPr>
                <w:sz w:val="20"/>
              </w:rPr>
              <w:t xml:space="preserve">Логическая связность и реализуемость представленного проекта, соответствие мероприятий целям, задачам и ожидаемым результатам проекта (оценивается по итогам презентации проекта)</w:t>
            </w:r>
          </w:p>
        </w:tc>
        <w:tc>
          <w:tcPr>
            <w:tcW w:w="4025" w:type="dxa"/>
          </w:tcPr>
          <w:p>
            <w:pPr>
              <w:pStyle w:val="0"/>
            </w:pPr>
            <w:r>
              <w:rPr>
                <w:sz w:val="20"/>
              </w:rPr>
              <w:t xml:space="preserve">Все разделы проекта логически взаимосвязаны, проект содержит информацию, необходимую и достаточную для полного понимания содержания проекта;</w:t>
            </w:r>
          </w:p>
          <w:p>
            <w:pPr>
              <w:pStyle w:val="0"/>
            </w:pPr>
            <w:r>
              <w:rPr>
                <w:sz w:val="20"/>
              </w:rPr>
              <w:t xml:space="preserve">запланированные мероприятия соответствуют условиям конкурса и обеспечивают решение поставленных задач и достижение предполагаемых результатов проекта;</w:t>
            </w:r>
          </w:p>
          <w:p>
            <w:pPr>
              <w:pStyle w:val="0"/>
            </w:pPr>
            <w:r>
              <w:rPr>
                <w:sz w:val="20"/>
              </w:rPr>
              <w:t xml:space="preserve">указаны конкретные и разумные сроки, позволяющие в полной мере решить задачи проекта</w:t>
            </w:r>
          </w:p>
        </w:tc>
        <w:tc>
          <w:tcPr>
            <w:tcW w:w="850" w:type="dxa"/>
          </w:tcPr>
          <w:p>
            <w:pPr>
              <w:pStyle w:val="0"/>
              <w:jc w:val="center"/>
            </w:pPr>
            <w:r>
              <w:rPr>
                <w:sz w:val="20"/>
              </w:rPr>
              <w:t xml:space="preserve">50</w:t>
            </w:r>
          </w:p>
        </w:tc>
        <w:tc>
          <w:tcPr>
            <w:tcW w:w="1134" w:type="dxa"/>
            <w:vMerge w:val="restart"/>
          </w:tcPr>
          <w:p>
            <w:pPr>
              <w:pStyle w:val="0"/>
              <w:jc w:val="center"/>
            </w:pPr>
            <w:r>
              <w:rPr>
                <w:sz w:val="20"/>
              </w:rPr>
              <w:t xml:space="preserve">0,2</w:t>
            </w:r>
          </w:p>
        </w:tc>
      </w:tr>
      <w:tr>
        <w:tc>
          <w:tcPr>
            <w:vMerge w:val="continue"/>
          </w:tcPr>
          <w:p/>
        </w:tc>
        <w:tc>
          <w:tcPr>
            <w:vMerge w:val="continue"/>
          </w:tcPr>
          <w:p/>
        </w:tc>
        <w:tc>
          <w:tcPr>
            <w:tcW w:w="4025" w:type="dxa"/>
          </w:tcPr>
          <w:p>
            <w:pPr>
              <w:pStyle w:val="0"/>
            </w:pPr>
            <w:r>
              <w:rPr>
                <w:sz w:val="20"/>
              </w:rPr>
              <w:t xml:space="preserve">Все разделы проекта логически взаимосвязаны, однако имеются несущественные смысловые несоответствия, что нарушает внутреннюю целостность проекта;</w:t>
            </w:r>
          </w:p>
          <w:p>
            <w:pPr>
              <w:pStyle w:val="0"/>
            </w:pPr>
            <w:r>
              <w:rPr>
                <w:sz w:val="20"/>
              </w:rPr>
              <w:t xml:space="preserve">запланированные мероприятия соответствуют условиям конкурса и обеспечивают решение поставленных задач и достижение предполагаемых результатов проекта, вместе с тем состав мероприятий не является полностью оптимальным;</w:t>
            </w:r>
          </w:p>
          <w:p>
            <w:pPr>
              <w:pStyle w:val="0"/>
            </w:pPr>
            <w:r>
              <w:rPr>
                <w:sz w:val="20"/>
              </w:rPr>
              <w:t xml:space="preserve">сроки выполнения отдельных мероприятий проекта требуют корректировки</w:t>
            </w:r>
          </w:p>
        </w:tc>
        <w:tc>
          <w:tcPr>
            <w:tcW w:w="850" w:type="dxa"/>
          </w:tcPr>
          <w:p>
            <w:pPr>
              <w:pStyle w:val="0"/>
              <w:jc w:val="center"/>
            </w:pPr>
            <w:r>
              <w:rPr>
                <w:sz w:val="20"/>
              </w:rPr>
              <w:t xml:space="preserve">25</w:t>
            </w:r>
          </w:p>
        </w:tc>
        <w:tc>
          <w:tcPr>
            <w:vMerge w:val="continue"/>
          </w:tcPr>
          <w:p/>
        </w:tc>
      </w:tr>
      <w:tr>
        <w:tc>
          <w:tcPr>
            <w:vMerge w:val="continue"/>
          </w:tcPr>
          <w:p/>
        </w:tc>
        <w:tc>
          <w:tcPr>
            <w:vMerge w:val="continue"/>
          </w:tcPr>
          <w:p/>
        </w:tc>
        <w:tc>
          <w:tcPr>
            <w:tcW w:w="4025" w:type="dxa"/>
          </w:tcPr>
          <w:p>
            <w:pPr>
              <w:pStyle w:val="0"/>
            </w:pPr>
            <w:r>
              <w:rPr>
                <w:sz w:val="20"/>
              </w:rPr>
              <w:t xml:space="preserve">Представленный проект описывает лишь общее направление деятельности, не раскрывает последовательность реализации мероприятий проекта, не позволяет определить содержание проекта;</w:t>
            </w:r>
          </w:p>
          <w:p>
            <w:pPr>
              <w:pStyle w:val="0"/>
            </w:pPr>
            <w:r>
              <w:rPr>
                <w:sz w:val="20"/>
              </w:rPr>
              <w:t xml:space="preserve">имеются устранимые нарушения логической связи между задачами, мероприятиями и предполагаемыми результатами</w:t>
            </w:r>
          </w:p>
        </w:tc>
        <w:tc>
          <w:tcPr>
            <w:tcW w:w="850" w:type="dxa"/>
          </w:tcPr>
          <w:p>
            <w:pPr>
              <w:pStyle w:val="0"/>
              <w:jc w:val="center"/>
            </w:pPr>
            <w:r>
              <w:rPr>
                <w:sz w:val="20"/>
              </w:rPr>
              <w:t xml:space="preserve">15</w:t>
            </w:r>
          </w:p>
        </w:tc>
        <w:tc>
          <w:tcPr>
            <w:vMerge w:val="continue"/>
          </w:tcPr>
          <w:p/>
        </w:tc>
      </w:tr>
      <w:tr>
        <w:tc>
          <w:tcPr>
            <w:vMerge w:val="continue"/>
          </w:tcPr>
          <w:p/>
        </w:tc>
        <w:tc>
          <w:tcPr>
            <w:vMerge w:val="continue"/>
          </w:tcPr>
          <w:p/>
        </w:tc>
        <w:tc>
          <w:tcPr>
            <w:tcW w:w="4025" w:type="dxa"/>
          </w:tcPr>
          <w:p>
            <w:pPr>
              <w:pStyle w:val="0"/>
            </w:pPr>
            <w:r>
              <w:rPr>
                <w:sz w:val="20"/>
              </w:rPr>
              <w:t xml:space="preserve">Проект проработан на низком уровне, имеются несоответствия мероприятий проекта его целям и задачам, противоречия между планируемой деятельностью и ожидаемыми результатами;</w:t>
            </w:r>
          </w:p>
          <w:p>
            <w:pPr>
              <w:pStyle w:val="0"/>
            </w:pPr>
            <w:r>
              <w:rPr>
                <w:sz w:val="20"/>
              </w:rPr>
              <w:t xml:space="preserve">существенные ошибки в постановке целей, задач, описании мероприятий, результатов проекта делают реализацию такого проекта нецелесообразной;</w:t>
            </w:r>
          </w:p>
          <w:p>
            <w:pPr>
              <w:pStyle w:val="0"/>
            </w:pPr>
            <w:r>
              <w:rPr>
                <w:sz w:val="20"/>
              </w:rPr>
              <w:t xml:space="preserve">сроки выполнения мероприятий некорректны и не соответствуют поставленным целям и задачам, из-за непродуманности создают значительные риски реализации проекта</w:t>
            </w:r>
          </w:p>
        </w:tc>
        <w:tc>
          <w:tcPr>
            <w:tcW w:w="850" w:type="dxa"/>
          </w:tcPr>
          <w:p>
            <w:pPr>
              <w:pStyle w:val="0"/>
              <w:jc w:val="center"/>
            </w:pPr>
            <w:r>
              <w:rPr>
                <w:sz w:val="20"/>
              </w:rPr>
              <w:t xml:space="preserve">0</w:t>
            </w:r>
          </w:p>
        </w:tc>
        <w:tc>
          <w:tcPr>
            <w:vMerge w:val="continue"/>
          </w:tcPr>
          <w:p/>
        </w:tc>
      </w:tr>
      <w:tr>
        <w:tc>
          <w:tcPr>
            <w:tcW w:w="510" w:type="dxa"/>
            <w:vMerge w:val="restart"/>
          </w:tcPr>
          <w:p>
            <w:pPr>
              <w:pStyle w:val="0"/>
              <w:jc w:val="center"/>
            </w:pPr>
            <w:r>
              <w:rPr>
                <w:sz w:val="20"/>
              </w:rPr>
              <w:t xml:space="preserve">3</w:t>
            </w:r>
          </w:p>
        </w:tc>
        <w:tc>
          <w:tcPr>
            <w:tcW w:w="2551" w:type="dxa"/>
            <w:vMerge w:val="restart"/>
          </w:tcPr>
          <w:p>
            <w:pPr>
              <w:pStyle w:val="0"/>
            </w:pPr>
            <w:r>
              <w:rPr>
                <w:sz w:val="20"/>
              </w:rPr>
              <w:t xml:space="preserve">Оценка инновационности представленного проекта (оценивается по итогам презентации проекта)</w:t>
            </w:r>
          </w:p>
        </w:tc>
        <w:tc>
          <w:tcPr>
            <w:tcW w:w="4025" w:type="dxa"/>
          </w:tcPr>
          <w:p>
            <w:pPr>
              <w:pStyle w:val="0"/>
            </w:pPr>
            <w:r>
              <w:rPr>
                <w:sz w:val="20"/>
              </w:rPr>
              <w:t xml:space="preserve">Проект имеет признаки инновационности, уникальности:</w:t>
            </w:r>
          </w:p>
          <w:p>
            <w:pPr>
              <w:pStyle w:val="0"/>
            </w:pPr>
            <w:r>
              <w:rPr>
                <w:sz w:val="20"/>
              </w:rPr>
              <w:t xml:space="preserve">проект предполагает разработку и внедрение новых или значительно улучшенных процессов, методов, практик, направленных на решение проблемы, заявленной в проекте</w:t>
            </w:r>
          </w:p>
        </w:tc>
        <w:tc>
          <w:tcPr>
            <w:tcW w:w="850" w:type="dxa"/>
          </w:tcPr>
          <w:p>
            <w:pPr>
              <w:pStyle w:val="0"/>
              <w:jc w:val="center"/>
            </w:pPr>
            <w:r>
              <w:rPr>
                <w:sz w:val="20"/>
              </w:rPr>
              <w:t xml:space="preserve">50</w:t>
            </w:r>
          </w:p>
        </w:tc>
        <w:tc>
          <w:tcPr>
            <w:tcW w:w="1134" w:type="dxa"/>
            <w:vMerge w:val="restart"/>
          </w:tcPr>
          <w:p>
            <w:pPr>
              <w:pStyle w:val="0"/>
              <w:jc w:val="center"/>
            </w:pPr>
            <w:r>
              <w:rPr>
                <w:sz w:val="20"/>
              </w:rPr>
              <w:t xml:space="preserve">0,2</w:t>
            </w:r>
          </w:p>
        </w:tc>
      </w:tr>
      <w:tr>
        <w:tc>
          <w:tcPr>
            <w:vMerge w:val="continue"/>
          </w:tcPr>
          <w:p/>
        </w:tc>
        <w:tc>
          <w:tcPr>
            <w:vMerge w:val="continue"/>
          </w:tcPr>
          <w:p/>
        </w:tc>
        <w:tc>
          <w:tcPr>
            <w:tcW w:w="4025" w:type="dxa"/>
          </w:tcPr>
          <w:p>
            <w:pPr>
              <w:pStyle w:val="0"/>
            </w:pPr>
            <w:r>
              <w:rPr>
                <w:sz w:val="20"/>
              </w:rPr>
              <w:t xml:space="preserve">Проект имеет признаки инновационности, уникальности, но эти признаки несущественно влияют на его ожидаемые результаты:</w:t>
            </w:r>
          </w:p>
          <w:p>
            <w:pPr>
              <w:pStyle w:val="0"/>
            </w:pPr>
            <w:r>
              <w:rPr>
                <w:sz w:val="20"/>
              </w:rPr>
              <w:t xml:space="preserve">проект предполагает разработку и внедрение новых или значительно улучшенных процессов, методов, практик, но четко не обосновано, как это приведет к решению проблемы, заявленной в проекте</w:t>
            </w:r>
          </w:p>
        </w:tc>
        <w:tc>
          <w:tcPr>
            <w:tcW w:w="850" w:type="dxa"/>
          </w:tcPr>
          <w:p>
            <w:pPr>
              <w:pStyle w:val="0"/>
              <w:jc w:val="center"/>
            </w:pPr>
            <w:r>
              <w:rPr>
                <w:sz w:val="20"/>
              </w:rPr>
              <w:t xml:space="preserve">25</w:t>
            </w:r>
          </w:p>
        </w:tc>
        <w:tc>
          <w:tcPr>
            <w:vMerge w:val="continue"/>
          </w:tcPr>
          <w:p/>
        </w:tc>
      </w:tr>
      <w:tr>
        <w:tc>
          <w:tcPr>
            <w:vMerge w:val="continue"/>
          </w:tcPr>
          <w:p/>
        </w:tc>
        <w:tc>
          <w:tcPr>
            <w:vMerge w:val="continue"/>
          </w:tcPr>
          <w:p/>
        </w:tc>
        <w:tc>
          <w:tcPr>
            <w:tcW w:w="4025" w:type="dxa"/>
          </w:tcPr>
          <w:p>
            <w:pPr>
              <w:pStyle w:val="0"/>
            </w:pPr>
            <w:r>
              <w:rPr>
                <w:sz w:val="20"/>
              </w:rPr>
              <w:t xml:space="preserve">Проект практически не имеет признаков инновационности, уникальности:</w:t>
            </w:r>
          </w:p>
          <w:p>
            <w:pPr>
              <w:pStyle w:val="0"/>
            </w:pPr>
            <w:r>
              <w:rPr>
                <w:sz w:val="20"/>
              </w:rPr>
              <w:t xml:space="preserve">в заявке упоминается использование новых или значительно улучшенных процессов, методов, практик, вместе с тем состав мероприятий проекта в явном виде не позволяет сделать вывод о том, что проект является уникальным по сравнению с деятельностью других организаций в соответствующей сфере</w:t>
            </w:r>
          </w:p>
        </w:tc>
        <w:tc>
          <w:tcPr>
            <w:tcW w:w="850" w:type="dxa"/>
          </w:tcPr>
          <w:p>
            <w:pPr>
              <w:pStyle w:val="0"/>
              <w:jc w:val="center"/>
            </w:pPr>
            <w:r>
              <w:rPr>
                <w:sz w:val="20"/>
              </w:rPr>
              <w:t xml:space="preserve">15</w:t>
            </w:r>
          </w:p>
        </w:tc>
        <w:tc>
          <w:tcPr>
            <w:vMerge w:val="continue"/>
          </w:tcPr>
          <w:p/>
        </w:tc>
      </w:tr>
      <w:tr>
        <w:tc>
          <w:tcPr>
            <w:vMerge w:val="continue"/>
          </w:tcPr>
          <w:p/>
        </w:tc>
        <w:tc>
          <w:tcPr>
            <w:vMerge w:val="continue"/>
          </w:tcPr>
          <w:p/>
        </w:tc>
        <w:tc>
          <w:tcPr>
            <w:tcW w:w="4025" w:type="dxa"/>
          </w:tcPr>
          <w:p>
            <w:pPr>
              <w:pStyle w:val="0"/>
            </w:pPr>
            <w:r>
              <w:rPr>
                <w:sz w:val="20"/>
              </w:rPr>
              <w:t xml:space="preserve">Проект не является инновационным, уникальным:</w:t>
            </w:r>
          </w:p>
          <w:p>
            <w:pPr>
              <w:pStyle w:val="0"/>
            </w:pPr>
            <w:r>
              <w:rPr>
                <w:sz w:val="20"/>
              </w:rPr>
              <w:t xml:space="preserve">проект не предусматривает внедрение и использование новых или значительно улучшенных процессов, методов, практик;</w:t>
            </w:r>
          </w:p>
          <w:p>
            <w:pPr>
              <w:pStyle w:val="0"/>
            </w:pPr>
            <w:r>
              <w:rPr>
                <w:sz w:val="20"/>
              </w:rPr>
              <w:t xml:space="preserve">проект не имеет признаков инновационности, уникальности;</w:t>
            </w:r>
          </w:p>
          <w:p>
            <w:pPr>
              <w:pStyle w:val="0"/>
            </w:pPr>
            <w:r>
              <w:rPr>
                <w:sz w:val="20"/>
              </w:rPr>
              <w:t xml:space="preserve">практики и методики, указанные в проекте, не рекомендуются к применению</w:t>
            </w:r>
          </w:p>
        </w:tc>
        <w:tc>
          <w:tcPr>
            <w:tcW w:w="850" w:type="dxa"/>
          </w:tcPr>
          <w:p>
            <w:pPr>
              <w:pStyle w:val="0"/>
              <w:jc w:val="center"/>
            </w:pPr>
            <w:r>
              <w:rPr>
                <w:sz w:val="20"/>
              </w:rPr>
              <w:t xml:space="preserve">0</w:t>
            </w:r>
          </w:p>
        </w:tc>
        <w:tc>
          <w:tcPr>
            <w:vMerge w:val="continue"/>
          </w:tcPr>
          <w:p/>
        </w:tc>
      </w:tr>
      <w:tr>
        <w:tc>
          <w:tcPr>
            <w:tcW w:w="510" w:type="dxa"/>
            <w:vMerge w:val="restart"/>
          </w:tcPr>
          <w:p>
            <w:pPr>
              <w:pStyle w:val="0"/>
              <w:jc w:val="center"/>
            </w:pPr>
            <w:r>
              <w:rPr>
                <w:sz w:val="20"/>
              </w:rPr>
              <w:t xml:space="preserve">4</w:t>
            </w:r>
          </w:p>
        </w:tc>
        <w:tc>
          <w:tcPr>
            <w:tcW w:w="2551" w:type="dxa"/>
            <w:vMerge w:val="restart"/>
          </w:tcPr>
          <w:p>
            <w:pPr>
              <w:pStyle w:val="0"/>
            </w:pPr>
            <w:r>
              <w:rPr>
                <w:sz w:val="20"/>
              </w:rPr>
              <w:t xml:space="preserve">Оценка эффективности представленного проекта (оценивается по итогам презентации проекта)</w:t>
            </w:r>
          </w:p>
        </w:tc>
        <w:tc>
          <w:tcPr>
            <w:tcW w:w="4025" w:type="dxa"/>
          </w:tcPr>
          <w:p>
            <w:pPr>
              <w:pStyle w:val="0"/>
            </w:pPr>
            <w:r>
              <w:rPr>
                <w:sz w:val="20"/>
              </w:rPr>
              <w:t xml:space="preserve">Четко изложены ожидаемые результаты проекта, они конкретны, измеримы, достижимы;</w:t>
            </w:r>
          </w:p>
          <w:p>
            <w:pPr>
              <w:pStyle w:val="0"/>
            </w:pPr>
            <w:r>
              <w:rPr>
                <w:sz w:val="20"/>
              </w:rPr>
              <w:t xml:space="preserve">достижение результатов за общую сумму предполагаемых расходов на реализацию проекта соразмерно и обоснованно</w:t>
            </w:r>
          </w:p>
        </w:tc>
        <w:tc>
          <w:tcPr>
            <w:tcW w:w="850" w:type="dxa"/>
          </w:tcPr>
          <w:p>
            <w:pPr>
              <w:pStyle w:val="0"/>
              <w:jc w:val="center"/>
            </w:pPr>
            <w:r>
              <w:rPr>
                <w:sz w:val="20"/>
              </w:rPr>
              <w:t xml:space="preserve">50</w:t>
            </w:r>
          </w:p>
        </w:tc>
        <w:tc>
          <w:tcPr>
            <w:tcW w:w="1134" w:type="dxa"/>
            <w:vMerge w:val="restart"/>
          </w:tcPr>
          <w:p>
            <w:pPr>
              <w:pStyle w:val="0"/>
              <w:jc w:val="center"/>
            </w:pPr>
            <w:r>
              <w:rPr>
                <w:sz w:val="20"/>
              </w:rPr>
              <w:t xml:space="preserve">0,2</w:t>
            </w:r>
          </w:p>
        </w:tc>
      </w:tr>
      <w:tr>
        <w:tc>
          <w:tcPr>
            <w:vMerge w:val="continue"/>
          </w:tcPr>
          <w:p/>
        </w:tc>
        <w:tc>
          <w:tcPr>
            <w:vMerge w:val="continue"/>
          </w:tcPr>
          <w:p/>
        </w:tc>
        <w:tc>
          <w:tcPr>
            <w:tcW w:w="4025" w:type="dxa"/>
          </w:tcPr>
          <w:p>
            <w:pPr>
              <w:pStyle w:val="0"/>
            </w:pPr>
            <w:r>
              <w:rPr>
                <w:sz w:val="20"/>
              </w:rPr>
              <w:t xml:space="preserve">Четко изложены ожидаемые результаты проекта, при этом имеются несущественные замечания в части измеримости, конкретности и достижимости результатов;</w:t>
            </w:r>
          </w:p>
          <w:p>
            <w:pPr>
              <w:pStyle w:val="0"/>
            </w:pPr>
            <w:r>
              <w:rPr>
                <w:sz w:val="20"/>
              </w:rPr>
              <w:t xml:space="preserve">достижение результатов за общую сумму предполагаемых расходов на реализацию проекта не в полной мере обоснованно</w:t>
            </w:r>
          </w:p>
        </w:tc>
        <w:tc>
          <w:tcPr>
            <w:tcW w:w="850" w:type="dxa"/>
          </w:tcPr>
          <w:p>
            <w:pPr>
              <w:pStyle w:val="0"/>
              <w:jc w:val="center"/>
            </w:pPr>
            <w:r>
              <w:rPr>
                <w:sz w:val="20"/>
              </w:rPr>
              <w:t xml:space="preserve">25</w:t>
            </w:r>
          </w:p>
        </w:tc>
        <w:tc>
          <w:tcPr>
            <w:vMerge w:val="continue"/>
          </w:tcPr>
          <w:p/>
        </w:tc>
      </w:tr>
      <w:tr>
        <w:tc>
          <w:tcPr>
            <w:vMerge w:val="continue"/>
          </w:tcPr>
          <w:p/>
        </w:tc>
        <w:tc>
          <w:tcPr>
            <w:vMerge w:val="continue"/>
          </w:tcPr>
          <w:p/>
        </w:tc>
        <w:tc>
          <w:tcPr>
            <w:tcW w:w="4025" w:type="dxa"/>
          </w:tcPr>
          <w:p>
            <w:pPr>
              <w:pStyle w:val="0"/>
            </w:pPr>
            <w:r>
              <w:rPr>
                <w:sz w:val="20"/>
              </w:rPr>
              <w:t xml:space="preserve">Изложены ожидаемые результаты проекта, но они не полностью соответствуют критериям конкретности, измеримости, достижимости;</w:t>
            </w:r>
          </w:p>
          <w:p>
            <w:pPr>
              <w:pStyle w:val="0"/>
            </w:pPr>
            <w:r>
              <w:rPr>
                <w:sz w:val="20"/>
              </w:rPr>
              <w:t xml:space="preserve">запланированные результаты могут быть достигнуты при меньших затратах</w:t>
            </w:r>
          </w:p>
        </w:tc>
        <w:tc>
          <w:tcPr>
            <w:tcW w:w="850" w:type="dxa"/>
          </w:tcPr>
          <w:p>
            <w:pPr>
              <w:pStyle w:val="0"/>
              <w:jc w:val="center"/>
            </w:pPr>
            <w:r>
              <w:rPr>
                <w:sz w:val="20"/>
              </w:rPr>
              <w:t xml:space="preserve">15</w:t>
            </w:r>
          </w:p>
        </w:tc>
        <w:tc>
          <w:tcPr>
            <w:vMerge w:val="continue"/>
          </w:tcPr>
          <w:p/>
        </w:tc>
      </w:tr>
      <w:tr>
        <w:tc>
          <w:tcPr>
            <w:vMerge w:val="continue"/>
          </w:tcPr>
          <w:p/>
        </w:tc>
        <w:tc>
          <w:tcPr>
            <w:vMerge w:val="continue"/>
          </w:tcPr>
          <w:p/>
        </w:tc>
        <w:tc>
          <w:tcPr>
            <w:tcW w:w="4025" w:type="dxa"/>
          </w:tcPr>
          <w:p>
            <w:pPr>
              <w:pStyle w:val="0"/>
            </w:pPr>
            <w:r>
              <w:rPr>
                <w:sz w:val="20"/>
              </w:rPr>
              <w:t xml:space="preserve">Предполагаемые затраты на достижение результатов проекта явно завышены</w:t>
            </w:r>
          </w:p>
        </w:tc>
        <w:tc>
          <w:tcPr>
            <w:tcW w:w="850" w:type="dxa"/>
          </w:tcPr>
          <w:p>
            <w:pPr>
              <w:pStyle w:val="0"/>
              <w:jc w:val="center"/>
            </w:pPr>
            <w:r>
              <w:rPr>
                <w:sz w:val="20"/>
              </w:rPr>
              <w:t xml:space="preserve">0</w:t>
            </w:r>
          </w:p>
        </w:tc>
        <w:tc>
          <w:tcPr>
            <w:vMerge w:val="continue"/>
          </w:tcPr>
          <w:p/>
        </w:tc>
      </w:tr>
      <w:tr>
        <w:tc>
          <w:tcPr>
            <w:tcW w:w="510" w:type="dxa"/>
            <w:vMerge w:val="restart"/>
          </w:tcPr>
          <w:p>
            <w:pPr>
              <w:pStyle w:val="0"/>
              <w:jc w:val="center"/>
            </w:pPr>
            <w:r>
              <w:rPr>
                <w:sz w:val="20"/>
              </w:rPr>
              <w:t xml:space="preserve">5</w:t>
            </w:r>
          </w:p>
        </w:tc>
        <w:tc>
          <w:tcPr>
            <w:tcW w:w="2551" w:type="dxa"/>
            <w:vMerge w:val="restart"/>
          </w:tcPr>
          <w:p>
            <w:pPr>
              <w:pStyle w:val="0"/>
            </w:pPr>
            <w:r>
              <w:rPr>
                <w:sz w:val="20"/>
              </w:rPr>
              <w:t xml:space="preserve">Прирост среднесписочной численности работников (без внешних совместителей), занятых у субъектов МСП, значение которого рассчитано в соответствии с </w:t>
            </w:r>
            <w:hyperlink w:history="0" w:anchor="P461" w:tooltip="6.5.2. прирост среднесписочной численности работников (без внешних совместителей), занятых у субъектов МСП, получивших субсидию, рассчитывается на основании сведений, указанных в пунктах 2.3, 3.17 паспорта бизнес-проекта (инвестиционного проекта) субъекта малого и среднего предпринимательства, характеризующих среднесписочную численность работников (без внешних совместителей), занятых у субъектов МСП, на начало и конец периода, в котором субъекты МСП получили субсидию.">
              <w:r>
                <w:rPr>
                  <w:sz w:val="20"/>
                  <w:color w:val="0000ff"/>
                </w:rPr>
                <w:t xml:space="preserve">пунктом 6.5.2</w:t>
              </w:r>
            </w:hyperlink>
            <w:r>
              <w:rPr>
                <w:sz w:val="20"/>
              </w:rPr>
              <w:t xml:space="preserve"> Порядка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(далее - Порядок), %</w:t>
            </w:r>
          </w:p>
        </w:tc>
        <w:tc>
          <w:tcPr>
            <w:tcW w:w="4025" w:type="dxa"/>
          </w:tcPr>
          <w:p>
            <w:pPr>
              <w:pStyle w:val="0"/>
            </w:pPr>
            <w:r>
              <w:rPr>
                <w:sz w:val="20"/>
              </w:rPr>
              <w:t xml:space="preserve">80% и выше</w:t>
            </w:r>
          </w:p>
        </w:tc>
        <w:tc>
          <w:tcPr>
            <w:tcW w:w="850" w:type="dxa"/>
          </w:tcPr>
          <w:p>
            <w:pPr>
              <w:pStyle w:val="0"/>
              <w:jc w:val="center"/>
            </w:pPr>
            <w:r>
              <w:rPr>
                <w:sz w:val="20"/>
              </w:rPr>
              <w:t xml:space="preserve">50</w:t>
            </w:r>
          </w:p>
        </w:tc>
        <w:tc>
          <w:tcPr>
            <w:tcW w:w="1134" w:type="dxa"/>
            <w:vMerge w:val="restart"/>
          </w:tcPr>
          <w:p>
            <w:pPr>
              <w:pStyle w:val="0"/>
              <w:jc w:val="center"/>
            </w:pPr>
            <w:r>
              <w:rPr>
                <w:sz w:val="20"/>
              </w:rPr>
              <w:t xml:space="preserve">0,1</w:t>
            </w:r>
          </w:p>
        </w:tc>
      </w:tr>
      <w:tr>
        <w:tc>
          <w:tcPr>
            <w:vMerge w:val="continue"/>
          </w:tcPr>
          <w:p/>
        </w:tc>
        <w:tc>
          <w:tcPr>
            <w:vMerge w:val="continue"/>
          </w:tcPr>
          <w:p/>
        </w:tc>
        <w:tc>
          <w:tcPr>
            <w:tcW w:w="4025" w:type="dxa"/>
          </w:tcPr>
          <w:p>
            <w:pPr>
              <w:pStyle w:val="0"/>
            </w:pPr>
            <w:r>
              <w:rPr>
                <w:sz w:val="20"/>
              </w:rPr>
              <w:t xml:space="preserve">от 40 до 79%</w:t>
            </w:r>
          </w:p>
        </w:tc>
        <w:tc>
          <w:tcPr>
            <w:tcW w:w="850" w:type="dxa"/>
          </w:tcPr>
          <w:p>
            <w:pPr>
              <w:pStyle w:val="0"/>
              <w:jc w:val="center"/>
            </w:pPr>
            <w:r>
              <w:rPr>
                <w:sz w:val="20"/>
              </w:rPr>
              <w:t xml:space="preserve">25</w:t>
            </w:r>
          </w:p>
        </w:tc>
        <w:tc>
          <w:tcPr>
            <w:vMerge w:val="continue"/>
          </w:tcPr>
          <w:p/>
        </w:tc>
      </w:tr>
      <w:tr>
        <w:tc>
          <w:tcPr>
            <w:vMerge w:val="continue"/>
          </w:tcPr>
          <w:p/>
        </w:tc>
        <w:tc>
          <w:tcPr>
            <w:vMerge w:val="continue"/>
          </w:tcPr>
          <w:p/>
        </w:tc>
        <w:tc>
          <w:tcPr>
            <w:tcW w:w="4025" w:type="dxa"/>
          </w:tcPr>
          <w:p>
            <w:pPr>
              <w:pStyle w:val="0"/>
            </w:pPr>
            <w:r>
              <w:rPr>
                <w:sz w:val="20"/>
              </w:rPr>
              <w:t xml:space="preserve">от 20 до 39%</w:t>
            </w:r>
          </w:p>
        </w:tc>
        <w:tc>
          <w:tcPr>
            <w:tcW w:w="850" w:type="dxa"/>
          </w:tcPr>
          <w:p>
            <w:pPr>
              <w:pStyle w:val="0"/>
              <w:jc w:val="center"/>
            </w:pPr>
            <w:r>
              <w:rPr>
                <w:sz w:val="20"/>
              </w:rPr>
              <w:t xml:space="preserve">15</w:t>
            </w:r>
          </w:p>
        </w:tc>
        <w:tc>
          <w:tcPr>
            <w:vMerge w:val="continue"/>
          </w:tcPr>
          <w:p/>
        </w:tc>
      </w:tr>
      <w:tr>
        <w:tc>
          <w:tcPr>
            <w:vMerge w:val="continue"/>
          </w:tcPr>
          <w:p/>
        </w:tc>
        <w:tc>
          <w:tcPr>
            <w:vMerge w:val="continue"/>
          </w:tcPr>
          <w:p/>
        </w:tc>
        <w:tc>
          <w:tcPr>
            <w:tcW w:w="4025" w:type="dxa"/>
          </w:tcPr>
          <w:p>
            <w:pPr>
              <w:pStyle w:val="0"/>
            </w:pPr>
            <w:r>
              <w:rPr>
                <w:sz w:val="20"/>
              </w:rPr>
              <w:t xml:space="preserve">от 2 до 19%</w:t>
            </w:r>
          </w:p>
        </w:tc>
        <w:tc>
          <w:tcPr>
            <w:tcW w:w="850" w:type="dxa"/>
          </w:tcPr>
          <w:p>
            <w:pPr>
              <w:pStyle w:val="0"/>
              <w:jc w:val="center"/>
            </w:pPr>
            <w:r>
              <w:rPr>
                <w:sz w:val="20"/>
              </w:rPr>
              <w:t xml:space="preserve">5</w:t>
            </w:r>
          </w:p>
        </w:tc>
        <w:tc>
          <w:tcPr>
            <w:vMerge w:val="continue"/>
          </w:tcPr>
          <w:p/>
        </w:tc>
      </w:tr>
      <w:tr>
        <w:tc>
          <w:tcPr>
            <w:tcW w:w="510" w:type="dxa"/>
            <w:vMerge w:val="restart"/>
          </w:tcPr>
          <w:p>
            <w:pPr>
              <w:pStyle w:val="0"/>
              <w:jc w:val="center"/>
            </w:pPr>
            <w:r>
              <w:rPr>
                <w:sz w:val="20"/>
              </w:rPr>
              <w:t xml:space="preserve">6</w:t>
            </w:r>
          </w:p>
        </w:tc>
        <w:tc>
          <w:tcPr>
            <w:tcW w:w="2551" w:type="dxa"/>
            <w:vMerge w:val="restart"/>
          </w:tcPr>
          <w:p>
            <w:pPr>
              <w:pStyle w:val="0"/>
            </w:pPr>
            <w:r>
              <w:rPr>
                <w:sz w:val="20"/>
              </w:rPr>
              <w:t xml:space="preserve">Увеличение оборота (выручки) от продажи товаров, выполнения работ, оказания услуг на начало и конец года, значение которого рассчитано в соответствии с </w:t>
            </w:r>
            <w:hyperlink w:history="0" w:anchor="P472" w:tooltip="6.5.3. увеличение оборота (выручки) от продажи товаров, выполнения работ, оказания услуг на начало и конец года, в котором субъект МСП получил субсидию, рассчитывается на основании сведений, указанных в пунктах 2.1, 3.12 паспорта бизнес-проекта (инвестиционного проекта) субъекта малого и среднего предпринимательства, характеризующих оборот (выручку) субъекта МСП от продажи товаров, выполнения работ и оказания услуг на начало и на конец периода, в котором субъекты МСП получили субсидию.">
              <w:r>
                <w:rPr>
                  <w:sz w:val="20"/>
                  <w:color w:val="0000ff"/>
                </w:rPr>
                <w:t xml:space="preserve">пунктом 6.5.3</w:t>
              </w:r>
            </w:hyperlink>
            <w:r>
              <w:rPr>
                <w:sz w:val="20"/>
              </w:rPr>
              <w:t xml:space="preserve"> Порядка</w:t>
            </w:r>
          </w:p>
        </w:tc>
        <w:tc>
          <w:tcPr>
            <w:tcW w:w="4025" w:type="dxa"/>
          </w:tcPr>
          <w:p>
            <w:pPr>
              <w:pStyle w:val="0"/>
            </w:pPr>
            <w:r>
              <w:rPr>
                <w:sz w:val="20"/>
              </w:rPr>
              <w:t xml:space="preserve">80% и выше</w:t>
            </w:r>
          </w:p>
        </w:tc>
        <w:tc>
          <w:tcPr>
            <w:tcW w:w="850" w:type="dxa"/>
          </w:tcPr>
          <w:p>
            <w:pPr>
              <w:pStyle w:val="0"/>
              <w:jc w:val="center"/>
            </w:pPr>
            <w:r>
              <w:rPr>
                <w:sz w:val="20"/>
              </w:rPr>
              <w:t xml:space="preserve">50</w:t>
            </w:r>
          </w:p>
        </w:tc>
        <w:tc>
          <w:tcPr>
            <w:tcW w:w="1134" w:type="dxa"/>
            <w:vMerge w:val="restart"/>
          </w:tcPr>
          <w:p>
            <w:pPr>
              <w:pStyle w:val="0"/>
              <w:jc w:val="center"/>
            </w:pPr>
            <w:r>
              <w:rPr>
                <w:sz w:val="20"/>
              </w:rPr>
              <w:t xml:space="preserve">0,1</w:t>
            </w:r>
          </w:p>
        </w:tc>
      </w:tr>
      <w:tr>
        <w:tc>
          <w:tcPr>
            <w:vMerge w:val="continue"/>
          </w:tcPr>
          <w:p/>
        </w:tc>
        <w:tc>
          <w:tcPr>
            <w:vMerge w:val="continue"/>
          </w:tcPr>
          <w:p/>
        </w:tc>
        <w:tc>
          <w:tcPr>
            <w:tcW w:w="4025" w:type="dxa"/>
          </w:tcPr>
          <w:p>
            <w:pPr>
              <w:pStyle w:val="0"/>
            </w:pPr>
            <w:r>
              <w:rPr>
                <w:sz w:val="20"/>
              </w:rPr>
              <w:t xml:space="preserve">от 40 до 79%</w:t>
            </w:r>
          </w:p>
        </w:tc>
        <w:tc>
          <w:tcPr>
            <w:tcW w:w="850" w:type="dxa"/>
          </w:tcPr>
          <w:p>
            <w:pPr>
              <w:pStyle w:val="0"/>
              <w:jc w:val="center"/>
            </w:pPr>
            <w:r>
              <w:rPr>
                <w:sz w:val="20"/>
              </w:rPr>
              <w:t xml:space="preserve">25</w:t>
            </w:r>
          </w:p>
        </w:tc>
        <w:tc>
          <w:tcPr>
            <w:vMerge w:val="continue"/>
          </w:tcPr>
          <w:p/>
        </w:tc>
      </w:tr>
      <w:tr>
        <w:tc>
          <w:tcPr>
            <w:vMerge w:val="continue"/>
          </w:tcPr>
          <w:p/>
        </w:tc>
        <w:tc>
          <w:tcPr>
            <w:vMerge w:val="continue"/>
          </w:tcPr>
          <w:p/>
        </w:tc>
        <w:tc>
          <w:tcPr>
            <w:tcW w:w="4025" w:type="dxa"/>
          </w:tcPr>
          <w:p>
            <w:pPr>
              <w:pStyle w:val="0"/>
            </w:pPr>
            <w:r>
              <w:rPr>
                <w:sz w:val="20"/>
              </w:rPr>
              <w:t xml:space="preserve">от 20 до 39%</w:t>
            </w:r>
          </w:p>
        </w:tc>
        <w:tc>
          <w:tcPr>
            <w:tcW w:w="850" w:type="dxa"/>
          </w:tcPr>
          <w:p>
            <w:pPr>
              <w:pStyle w:val="0"/>
              <w:jc w:val="center"/>
            </w:pPr>
            <w:r>
              <w:rPr>
                <w:sz w:val="20"/>
              </w:rPr>
              <w:t xml:space="preserve">15</w:t>
            </w:r>
          </w:p>
        </w:tc>
        <w:tc>
          <w:tcPr>
            <w:vMerge w:val="continue"/>
          </w:tcPr>
          <w:p/>
        </w:tc>
      </w:tr>
      <w:tr>
        <w:tc>
          <w:tcPr>
            <w:vMerge w:val="continue"/>
          </w:tcPr>
          <w:p/>
        </w:tc>
        <w:tc>
          <w:tcPr>
            <w:vMerge w:val="continue"/>
          </w:tcPr>
          <w:p/>
        </w:tc>
        <w:tc>
          <w:tcPr>
            <w:tcW w:w="4025" w:type="dxa"/>
          </w:tcPr>
          <w:p>
            <w:pPr>
              <w:pStyle w:val="0"/>
            </w:pPr>
            <w:r>
              <w:rPr>
                <w:sz w:val="20"/>
              </w:rPr>
              <w:t xml:space="preserve">от 2 до 19%</w:t>
            </w:r>
          </w:p>
        </w:tc>
        <w:tc>
          <w:tcPr>
            <w:tcW w:w="850" w:type="dxa"/>
          </w:tcPr>
          <w:p>
            <w:pPr>
              <w:pStyle w:val="0"/>
              <w:jc w:val="center"/>
            </w:pPr>
            <w:r>
              <w:rPr>
                <w:sz w:val="20"/>
              </w:rPr>
              <w:t xml:space="preserve">5</w:t>
            </w:r>
          </w:p>
        </w:tc>
        <w:tc>
          <w:tcPr>
            <w:vMerge w:val="continue"/>
          </w:tcPr>
          <w:p/>
        </w:tc>
      </w:tr>
      <w:tr>
        <w:tc>
          <w:tcPr>
            <w:gridSpan w:val="4"/>
            <w:tcW w:w="7936" w:type="dxa"/>
            <w:vAlign w:val="center"/>
          </w:tcPr>
          <w:p>
            <w:pPr>
              <w:pStyle w:val="0"/>
              <w:jc w:val="center"/>
            </w:pPr>
            <w:r>
              <w:rPr>
                <w:sz w:val="20"/>
              </w:rPr>
              <w:t xml:space="preserve">Итого (максимально 50 баллов)</w:t>
            </w:r>
          </w:p>
        </w:tc>
        <w:tc>
          <w:tcPr>
            <w:tcW w:w="1134" w:type="dxa"/>
          </w:tcPr>
          <w:p>
            <w:pPr>
              <w:pStyle w:val="0"/>
            </w:pPr>
            <w:r>
              <w:rPr>
                <w:sz w:val="20"/>
              </w:rPr>
            </w:r>
          </w:p>
        </w:tc>
      </w:tr>
    </w:tbl>
    <w:p>
      <w:pPr>
        <w:pStyle w:val="0"/>
        <w:jc w:val="both"/>
      </w:pPr>
      <w:r>
        <w:rPr>
          <w:sz w:val="20"/>
        </w:rPr>
      </w:r>
    </w:p>
    <w:p>
      <w:pPr>
        <w:pStyle w:val="0"/>
        <w:ind w:firstLine="540"/>
        <w:jc w:val="both"/>
      </w:pPr>
      <w:r>
        <w:rPr>
          <w:sz w:val="20"/>
        </w:rPr>
        <w:t xml:space="preserve">--------------------------------</w:t>
      </w:r>
    </w:p>
    <w:bookmarkStart w:id="1634" w:name="P1634"/>
    <w:bookmarkEnd w:id="1634"/>
    <w:p>
      <w:pPr>
        <w:pStyle w:val="0"/>
        <w:spacing w:before="200" w:line-rule="auto"/>
        <w:ind w:firstLine="540"/>
        <w:jc w:val="both"/>
      </w:pPr>
      <w:r>
        <w:rPr>
          <w:sz w:val="20"/>
        </w:rPr>
        <w:t xml:space="preserve">&lt;*&gt; Балл по каждому критерию оценки бизнес-проекта (инвестиционного проекта) определяется как произведение графы 4 и графы 5.</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10</w:t>
      </w:r>
    </w:p>
    <w:p>
      <w:pPr>
        <w:pStyle w:val="0"/>
        <w:jc w:val="right"/>
      </w:pPr>
      <w:r>
        <w:rPr>
          <w:sz w:val="20"/>
        </w:rPr>
        <w:t xml:space="preserve">к Порядку</w:t>
      </w:r>
    </w:p>
    <w:p>
      <w:pPr>
        <w:pStyle w:val="0"/>
        <w:jc w:val="right"/>
      </w:pPr>
      <w:r>
        <w:rPr>
          <w:sz w:val="20"/>
        </w:rPr>
        <w:t xml:space="preserve">предоставления субсидий из бюджета</w:t>
      </w:r>
    </w:p>
    <w:p>
      <w:pPr>
        <w:pStyle w:val="0"/>
        <w:jc w:val="right"/>
      </w:pPr>
      <w:r>
        <w:rPr>
          <w:sz w:val="20"/>
        </w:rPr>
        <w:t xml:space="preserve">Пермского края субъектам малого</w:t>
      </w:r>
    </w:p>
    <w:p>
      <w:pPr>
        <w:pStyle w:val="0"/>
        <w:jc w:val="right"/>
      </w:pPr>
      <w:r>
        <w:rPr>
          <w:sz w:val="20"/>
        </w:rPr>
        <w:t xml:space="preserve">и среднего предпринимательства</w:t>
      </w:r>
    </w:p>
    <w:p>
      <w:pPr>
        <w:pStyle w:val="0"/>
        <w:jc w:val="right"/>
      </w:pPr>
      <w:r>
        <w:rPr>
          <w:sz w:val="20"/>
        </w:rPr>
        <w:t xml:space="preserve">в целях возмещения части затрат,</w:t>
      </w:r>
    </w:p>
    <w:p>
      <w:pPr>
        <w:pStyle w:val="0"/>
        <w:jc w:val="right"/>
      </w:pPr>
      <w:r>
        <w:rPr>
          <w:sz w:val="20"/>
        </w:rPr>
        <w:t xml:space="preserve">связанных с осуществлением ими</w:t>
      </w:r>
    </w:p>
    <w:p>
      <w:pPr>
        <w:pStyle w:val="0"/>
        <w:jc w:val="right"/>
      </w:pPr>
      <w:r>
        <w:rPr>
          <w:sz w:val="20"/>
        </w:rPr>
        <w:t xml:space="preserve">предпринимательской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88" w:tooltip="Постановление Правительства Пермского края от 20.10.2021 N 793-п &quot;О внесении изменений в Порядок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 утвержденный постановлением Правительства Пермского края от 28 декабря 2017 г. N 1100-п&quot; {КонсультантПлюс}">
              <w:r>
                <w:rPr>
                  <w:sz w:val="20"/>
                  <w:color w:val="0000ff"/>
                </w:rPr>
                <w:t xml:space="preserve">Постановлением</w:t>
              </w:r>
            </w:hyperlink>
            <w:r>
              <w:rPr>
                <w:sz w:val="20"/>
                <w:color w:val="392c69"/>
              </w:rPr>
              <w:t xml:space="preserve"> Правительства Пермского края от 20.10.2021 N 793-п)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1653" w:name="P1653"/>
    <w:bookmarkEnd w:id="1653"/>
    <w:p>
      <w:pPr>
        <w:pStyle w:val="0"/>
        <w:jc w:val="center"/>
      </w:pPr>
      <w:r>
        <w:rPr>
          <w:sz w:val="20"/>
        </w:rPr>
        <w:t xml:space="preserve">ИТОГОВЫЙ ОЦЕНОЧНЫЙ ЛИСТ</w:t>
      </w:r>
    </w:p>
    <w:p>
      <w:pPr>
        <w:pStyle w:val="0"/>
        <w:jc w:val="center"/>
      </w:pPr>
      <w:r>
        <w:rPr>
          <w:sz w:val="20"/>
        </w:rPr>
        <w:t xml:space="preserve">бизнес-проектов (инвестиционных проектов) субъектов малого</w:t>
      </w:r>
    </w:p>
    <w:p>
      <w:pPr>
        <w:pStyle w:val="0"/>
        <w:jc w:val="center"/>
      </w:pPr>
      <w:r>
        <w:rPr>
          <w:sz w:val="20"/>
        </w:rPr>
        <w:t xml:space="preserve">и среднего предпринимательства, представленных для получения</w:t>
      </w:r>
    </w:p>
    <w:p>
      <w:pPr>
        <w:pStyle w:val="0"/>
        <w:jc w:val="center"/>
      </w:pPr>
      <w:r>
        <w:rPr>
          <w:sz w:val="20"/>
        </w:rPr>
        <w:t xml:space="preserve">субсидий на возмещение части затрат, связанных</w:t>
      </w:r>
    </w:p>
    <w:p>
      <w:pPr>
        <w:pStyle w:val="0"/>
        <w:jc w:val="center"/>
      </w:pPr>
      <w:r>
        <w:rPr>
          <w:sz w:val="20"/>
        </w:rPr>
        <w:t xml:space="preserve">с осуществлением ими предпринимательской деятельности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1928"/>
        <w:gridCol w:w="1191"/>
        <w:gridCol w:w="992"/>
        <w:gridCol w:w="737"/>
        <w:gridCol w:w="680"/>
        <w:gridCol w:w="680"/>
        <w:gridCol w:w="624"/>
        <w:gridCol w:w="624"/>
        <w:gridCol w:w="624"/>
        <w:gridCol w:w="1559"/>
      </w:tblGrid>
      <w:tr>
        <w:tc>
          <w:tcPr>
            <w:tcW w:w="567" w:type="dxa"/>
            <w:vAlign w:val="center"/>
            <w:vMerge w:val="restart"/>
          </w:tcPr>
          <w:p>
            <w:pPr>
              <w:pStyle w:val="0"/>
              <w:jc w:val="center"/>
            </w:pPr>
            <w:r>
              <w:rPr>
                <w:sz w:val="20"/>
              </w:rPr>
              <w:t xml:space="preserve">N п/п</w:t>
            </w:r>
          </w:p>
        </w:tc>
        <w:tc>
          <w:tcPr>
            <w:tcW w:w="1701" w:type="dxa"/>
            <w:vAlign w:val="center"/>
            <w:vMerge w:val="restart"/>
          </w:tcPr>
          <w:p>
            <w:pPr>
              <w:pStyle w:val="0"/>
              <w:jc w:val="center"/>
            </w:pPr>
            <w:r>
              <w:rPr>
                <w:sz w:val="20"/>
              </w:rPr>
              <w:t xml:space="preserve">Наименование бизнес-проекта (инвестиционного проекта)</w:t>
            </w:r>
          </w:p>
        </w:tc>
        <w:tc>
          <w:tcPr>
            <w:tcW w:w="1928" w:type="dxa"/>
            <w:vAlign w:val="center"/>
            <w:vMerge w:val="restart"/>
          </w:tcPr>
          <w:p>
            <w:pPr>
              <w:pStyle w:val="0"/>
              <w:jc w:val="center"/>
            </w:pPr>
            <w:r>
              <w:rPr>
                <w:sz w:val="20"/>
              </w:rPr>
              <w:t xml:space="preserve">Наименование субъекта малого и среднего предпринимательства (далее - субъект МСП)</w:t>
            </w:r>
          </w:p>
        </w:tc>
        <w:tc>
          <w:tcPr>
            <w:tcW w:w="1191" w:type="dxa"/>
            <w:vAlign w:val="center"/>
            <w:vMerge w:val="restart"/>
          </w:tcPr>
          <w:p>
            <w:pPr>
              <w:pStyle w:val="0"/>
              <w:jc w:val="center"/>
            </w:pPr>
            <w:r>
              <w:rPr>
                <w:sz w:val="20"/>
              </w:rPr>
              <w:t xml:space="preserve">Размер запрашиваемой субсидии</w:t>
            </w:r>
          </w:p>
        </w:tc>
        <w:tc>
          <w:tcPr>
            <w:tcW w:w="992" w:type="dxa"/>
            <w:vAlign w:val="center"/>
            <w:vMerge w:val="restart"/>
          </w:tcPr>
          <w:p>
            <w:pPr>
              <w:pStyle w:val="0"/>
              <w:jc w:val="center"/>
            </w:pPr>
            <w:r>
              <w:rPr>
                <w:sz w:val="20"/>
              </w:rPr>
              <w:t xml:space="preserve">ИТОГО</w:t>
            </w:r>
          </w:p>
        </w:tc>
        <w:tc>
          <w:tcPr>
            <w:gridSpan w:val="6"/>
            <w:tcW w:w="3969" w:type="dxa"/>
            <w:vAlign w:val="center"/>
          </w:tcPr>
          <w:p>
            <w:pPr>
              <w:pStyle w:val="0"/>
              <w:jc w:val="center"/>
            </w:pPr>
            <w:r>
              <w:rPr>
                <w:sz w:val="20"/>
              </w:rPr>
              <w:t xml:space="preserve">Количество набранных баллов, проставленных комиссией по отбору, в том числе по </w:t>
            </w:r>
            <w:hyperlink w:history="0" w:anchor="P1540" w:tooltip="КРИТЕРИИ ОЦЕНКИ">
              <w:r>
                <w:rPr>
                  <w:sz w:val="20"/>
                  <w:color w:val="0000ff"/>
                </w:rPr>
                <w:t xml:space="preserve">критериям</w:t>
              </w:r>
            </w:hyperlink>
            <w:r>
              <w:rPr>
                <w:sz w:val="20"/>
              </w:rPr>
              <w:t xml:space="preserve"> оценки бизнес-проекта (инвестиционного проекта) субъекта МСП по итогам защиты на заседании комиссии по отбору, N п/п приложения 9 к Порядку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w:t>
            </w:r>
          </w:p>
        </w:tc>
        <w:tc>
          <w:tcPr>
            <w:tcW w:w="1559" w:type="dxa"/>
            <w:vAlign w:val="center"/>
            <w:vMerge w:val="restart"/>
          </w:tcPr>
          <w:p>
            <w:pPr>
              <w:pStyle w:val="0"/>
              <w:jc w:val="center"/>
            </w:pPr>
            <w:r>
              <w:rPr>
                <w:sz w:val="20"/>
              </w:rPr>
              <w:t xml:space="preserve">Комментарий комиссии по отбору</w:t>
            </w:r>
          </w:p>
        </w:tc>
      </w:tr>
      <w:tr>
        <w:tc>
          <w:tcPr>
            <w:vMerge w:val="continue"/>
          </w:tcPr>
          <w:p/>
        </w:tc>
        <w:tc>
          <w:tcPr>
            <w:vMerge w:val="continue"/>
          </w:tcPr>
          <w:p/>
        </w:tc>
        <w:tc>
          <w:tcPr>
            <w:vMerge w:val="continue"/>
          </w:tcPr>
          <w:p/>
        </w:tc>
        <w:tc>
          <w:tcPr>
            <w:vMerge w:val="continue"/>
          </w:tcPr>
          <w:p/>
        </w:tc>
        <w:tc>
          <w:tcPr>
            <w:vMerge w:val="continue"/>
          </w:tcPr>
          <w:p/>
        </w:tc>
        <w:tc>
          <w:tcPr>
            <w:tcW w:w="737" w:type="dxa"/>
            <w:vAlign w:val="center"/>
          </w:tcPr>
          <w:p>
            <w:pPr>
              <w:pStyle w:val="0"/>
              <w:jc w:val="center"/>
            </w:pPr>
            <w:r>
              <w:rPr>
                <w:sz w:val="20"/>
              </w:rPr>
              <w:t xml:space="preserve">1</w:t>
            </w:r>
          </w:p>
        </w:tc>
        <w:tc>
          <w:tcPr>
            <w:tcW w:w="680" w:type="dxa"/>
            <w:vAlign w:val="center"/>
          </w:tcPr>
          <w:p>
            <w:pPr>
              <w:pStyle w:val="0"/>
              <w:jc w:val="center"/>
            </w:pPr>
            <w:r>
              <w:rPr>
                <w:sz w:val="20"/>
              </w:rPr>
              <w:t xml:space="preserve">2</w:t>
            </w:r>
          </w:p>
        </w:tc>
        <w:tc>
          <w:tcPr>
            <w:tcW w:w="680" w:type="dxa"/>
            <w:vAlign w:val="center"/>
          </w:tcPr>
          <w:p>
            <w:pPr>
              <w:pStyle w:val="0"/>
              <w:jc w:val="center"/>
            </w:pPr>
            <w:r>
              <w:rPr>
                <w:sz w:val="20"/>
              </w:rPr>
              <w:t xml:space="preserve">3</w:t>
            </w:r>
          </w:p>
        </w:tc>
        <w:tc>
          <w:tcPr>
            <w:tcW w:w="624" w:type="dxa"/>
            <w:vAlign w:val="center"/>
          </w:tcPr>
          <w:p>
            <w:pPr>
              <w:pStyle w:val="0"/>
              <w:jc w:val="center"/>
            </w:pPr>
            <w:r>
              <w:rPr>
                <w:sz w:val="20"/>
              </w:rPr>
              <w:t xml:space="preserve">4</w:t>
            </w:r>
          </w:p>
        </w:tc>
        <w:tc>
          <w:tcPr>
            <w:tcW w:w="624" w:type="dxa"/>
            <w:vAlign w:val="center"/>
          </w:tcPr>
          <w:p>
            <w:pPr>
              <w:pStyle w:val="0"/>
              <w:jc w:val="center"/>
            </w:pPr>
            <w:r>
              <w:rPr>
                <w:sz w:val="20"/>
              </w:rPr>
              <w:t xml:space="preserve">5</w:t>
            </w:r>
          </w:p>
        </w:tc>
        <w:tc>
          <w:tcPr>
            <w:tcW w:w="624" w:type="dxa"/>
            <w:vAlign w:val="center"/>
          </w:tcPr>
          <w:p>
            <w:pPr>
              <w:pStyle w:val="0"/>
              <w:jc w:val="center"/>
            </w:pPr>
            <w:r>
              <w:rPr>
                <w:sz w:val="20"/>
              </w:rPr>
              <w:t xml:space="preserve">6</w:t>
            </w:r>
          </w:p>
        </w:tc>
        <w:tc>
          <w:tcPr>
            <w:vMerge w:val="continue"/>
          </w:tcP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2</w:t>
            </w:r>
          </w:p>
        </w:tc>
        <w:tc>
          <w:tcPr>
            <w:tcW w:w="1928" w:type="dxa"/>
            <w:vAlign w:val="center"/>
          </w:tcPr>
          <w:p>
            <w:pPr>
              <w:pStyle w:val="0"/>
              <w:jc w:val="center"/>
            </w:pPr>
            <w:r>
              <w:rPr>
                <w:sz w:val="20"/>
              </w:rPr>
              <w:t xml:space="preserve">3</w:t>
            </w:r>
          </w:p>
        </w:tc>
        <w:tc>
          <w:tcPr>
            <w:tcW w:w="1191" w:type="dxa"/>
            <w:vAlign w:val="center"/>
          </w:tcPr>
          <w:p>
            <w:pPr>
              <w:pStyle w:val="0"/>
              <w:jc w:val="center"/>
            </w:pPr>
            <w:r>
              <w:rPr>
                <w:sz w:val="20"/>
              </w:rPr>
              <w:t xml:space="preserve">4</w:t>
            </w:r>
          </w:p>
        </w:tc>
        <w:tc>
          <w:tcPr>
            <w:tcW w:w="992" w:type="dxa"/>
            <w:vAlign w:val="center"/>
          </w:tcPr>
          <w:p>
            <w:pPr>
              <w:pStyle w:val="0"/>
              <w:jc w:val="center"/>
            </w:pPr>
            <w:r>
              <w:rPr>
                <w:sz w:val="20"/>
              </w:rPr>
              <w:t xml:space="preserve">5</w:t>
            </w:r>
          </w:p>
        </w:tc>
        <w:tc>
          <w:tcPr>
            <w:tcW w:w="737" w:type="dxa"/>
            <w:vAlign w:val="center"/>
          </w:tcPr>
          <w:p>
            <w:pPr>
              <w:pStyle w:val="0"/>
              <w:jc w:val="center"/>
            </w:pPr>
            <w:r>
              <w:rPr>
                <w:sz w:val="20"/>
              </w:rPr>
              <w:t xml:space="preserve">6</w:t>
            </w:r>
          </w:p>
        </w:tc>
        <w:tc>
          <w:tcPr>
            <w:tcW w:w="680" w:type="dxa"/>
            <w:vAlign w:val="center"/>
          </w:tcPr>
          <w:p>
            <w:pPr>
              <w:pStyle w:val="0"/>
              <w:jc w:val="center"/>
            </w:pPr>
            <w:r>
              <w:rPr>
                <w:sz w:val="20"/>
              </w:rPr>
              <w:t xml:space="preserve">7</w:t>
            </w:r>
          </w:p>
        </w:tc>
        <w:tc>
          <w:tcPr>
            <w:tcW w:w="680" w:type="dxa"/>
            <w:vAlign w:val="center"/>
          </w:tcPr>
          <w:p>
            <w:pPr>
              <w:pStyle w:val="0"/>
              <w:jc w:val="center"/>
            </w:pPr>
            <w:r>
              <w:rPr>
                <w:sz w:val="20"/>
              </w:rPr>
              <w:t xml:space="preserve">8</w:t>
            </w:r>
          </w:p>
        </w:tc>
        <w:tc>
          <w:tcPr>
            <w:tcW w:w="624" w:type="dxa"/>
            <w:vAlign w:val="center"/>
          </w:tcPr>
          <w:p>
            <w:pPr>
              <w:pStyle w:val="0"/>
              <w:jc w:val="center"/>
            </w:pPr>
            <w:r>
              <w:rPr>
                <w:sz w:val="20"/>
              </w:rPr>
              <w:t xml:space="preserve">9</w:t>
            </w:r>
          </w:p>
        </w:tc>
        <w:tc>
          <w:tcPr>
            <w:tcW w:w="624" w:type="dxa"/>
            <w:vAlign w:val="center"/>
          </w:tcPr>
          <w:p>
            <w:pPr>
              <w:pStyle w:val="0"/>
              <w:jc w:val="center"/>
            </w:pPr>
            <w:r>
              <w:rPr>
                <w:sz w:val="20"/>
              </w:rPr>
              <w:t xml:space="preserve">10</w:t>
            </w:r>
          </w:p>
        </w:tc>
        <w:tc>
          <w:tcPr>
            <w:tcW w:w="624" w:type="dxa"/>
            <w:vAlign w:val="center"/>
          </w:tcPr>
          <w:p>
            <w:pPr>
              <w:pStyle w:val="0"/>
              <w:jc w:val="center"/>
            </w:pPr>
            <w:r>
              <w:rPr>
                <w:sz w:val="20"/>
              </w:rPr>
              <w:t xml:space="preserve">11</w:t>
            </w:r>
          </w:p>
        </w:tc>
        <w:tc>
          <w:tcPr>
            <w:tcW w:w="1559" w:type="dxa"/>
            <w:vAlign w:val="center"/>
          </w:tcPr>
          <w:p>
            <w:pPr>
              <w:pStyle w:val="0"/>
              <w:jc w:val="center"/>
            </w:pPr>
            <w:r>
              <w:rPr>
                <w:sz w:val="20"/>
              </w:rPr>
              <w:t xml:space="preserve">12</w:t>
            </w:r>
          </w:p>
        </w:tc>
      </w:tr>
      <w:tr>
        <w:tc>
          <w:tcPr>
            <w:tcW w:w="567" w:type="dxa"/>
            <w:vAlign w:val="center"/>
          </w:tcPr>
          <w:p>
            <w:pPr>
              <w:pStyle w:val="0"/>
              <w:jc w:val="center"/>
            </w:pPr>
            <w:r>
              <w:rPr>
                <w:sz w:val="20"/>
              </w:rPr>
              <w:t xml:space="preserve">1</w:t>
            </w:r>
          </w:p>
        </w:tc>
        <w:tc>
          <w:tcPr>
            <w:tcW w:w="1701" w:type="dxa"/>
            <w:vAlign w:val="center"/>
          </w:tcPr>
          <w:p>
            <w:pPr>
              <w:pStyle w:val="0"/>
            </w:pPr>
            <w:r>
              <w:rPr>
                <w:sz w:val="20"/>
              </w:rPr>
            </w:r>
          </w:p>
        </w:tc>
        <w:tc>
          <w:tcPr>
            <w:tcW w:w="1928" w:type="dxa"/>
            <w:vAlign w:val="center"/>
          </w:tcPr>
          <w:p>
            <w:pPr>
              <w:pStyle w:val="0"/>
            </w:pPr>
            <w:r>
              <w:rPr>
                <w:sz w:val="20"/>
              </w:rPr>
            </w:r>
          </w:p>
        </w:tc>
        <w:tc>
          <w:tcPr>
            <w:tcW w:w="1191" w:type="dxa"/>
          </w:tcPr>
          <w:p>
            <w:pPr>
              <w:pStyle w:val="0"/>
            </w:pPr>
            <w:r>
              <w:rPr>
                <w:sz w:val="20"/>
              </w:rPr>
            </w:r>
          </w:p>
        </w:tc>
        <w:tc>
          <w:tcPr>
            <w:tcW w:w="992" w:type="dxa"/>
          </w:tcPr>
          <w:p>
            <w:pPr>
              <w:pStyle w:val="0"/>
            </w:pPr>
            <w:r>
              <w:rPr>
                <w:sz w:val="20"/>
              </w:rPr>
            </w:r>
          </w:p>
        </w:tc>
        <w:tc>
          <w:tcPr>
            <w:tcW w:w="737"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1559" w:type="dxa"/>
          </w:tcPr>
          <w:p>
            <w:pPr>
              <w:pStyle w:val="0"/>
            </w:pPr>
            <w:r>
              <w:rPr>
                <w:sz w:val="20"/>
              </w:rPr>
            </w:r>
          </w:p>
        </w:tc>
      </w:tr>
      <w:tr>
        <w:tc>
          <w:tcPr>
            <w:tcW w:w="567" w:type="dxa"/>
            <w:vAlign w:val="center"/>
          </w:tcPr>
          <w:p>
            <w:pPr>
              <w:pStyle w:val="0"/>
              <w:jc w:val="center"/>
            </w:pPr>
            <w:r>
              <w:rPr>
                <w:sz w:val="20"/>
              </w:rPr>
              <w:t xml:space="preserve">2</w:t>
            </w:r>
          </w:p>
        </w:tc>
        <w:tc>
          <w:tcPr>
            <w:tcW w:w="1701" w:type="dxa"/>
            <w:vAlign w:val="center"/>
          </w:tcPr>
          <w:p>
            <w:pPr>
              <w:pStyle w:val="0"/>
            </w:pPr>
            <w:r>
              <w:rPr>
                <w:sz w:val="20"/>
              </w:rPr>
            </w:r>
          </w:p>
        </w:tc>
        <w:tc>
          <w:tcPr>
            <w:tcW w:w="1928" w:type="dxa"/>
            <w:vAlign w:val="center"/>
          </w:tcPr>
          <w:p>
            <w:pPr>
              <w:pStyle w:val="0"/>
            </w:pPr>
            <w:r>
              <w:rPr>
                <w:sz w:val="20"/>
              </w:rPr>
            </w:r>
          </w:p>
        </w:tc>
        <w:tc>
          <w:tcPr>
            <w:tcW w:w="1191" w:type="dxa"/>
          </w:tcPr>
          <w:p>
            <w:pPr>
              <w:pStyle w:val="0"/>
            </w:pPr>
            <w:r>
              <w:rPr>
                <w:sz w:val="20"/>
              </w:rPr>
            </w:r>
          </w:p>
        </w:tc>
        <w:tc>
          <w:tcPr>
            <w:tcW w:w="992" w:type="dxa"/>
          </w:tcPr>
          <w:p>
            <w:pPr>
              <w:pStyle w:val="0"/>
            </w:pPr>
            <w:r>
              <w:rPr>
                <w:sz w:val="20"/>
              </w:rPr>
            </w:r>
          </w:p>
        </w:tc>
        <w:tc>
          <w:tcPr>
            <w:tcW w:w="737"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1559" w:type="dxa"/>
          </w:tcPr>
          <w:p>
            <w:pPr>
              <w:pStyle w:val="0"/>
            </w:pPr>
            <w:r>
              <w:rPr>
                <w:sz w:val="20"/>
              </w:rPr>
            </w:r>
          </w:p>
        </w:tc>
      </w:tr>
      <w:tr>
        <w:tc>
          <w:tcPr>
            <w:tcW w:w="567" w:type="dxa"/>
            <w:vAlign w:val="center"/>
          </w:tcPr>
          <w:p>
            <w:pPr>
              <w:pStyle w:val="0"/>
              <w:jc w:val="center"/>
            </w:pPr>
            <w:r>
              <w:rPr>
                <w:sz w:val="20"/>
              </w:rPr>
              <w:t xml:space="preserve">3</w:t>
            </w:r>
          </w:p>
        </w:tc>
        <w:tc>
          <w:tcPr>
            <w:tcW w:w="1701" w:type="dxa"/>
            <w:vAlign w:val="center"/>
          </w:tcPr>
          <w:p>
            <w:pPr>
              <w:pStyle w:val="0"/>
            </w:pPr>
            <w:r>
              <w:rPr>
                <w:sz w:val="20"/>
              </w:rPr>
            </w:r>
          </w:p>
        </w:tc>
        <w:tc>
          <w:tcPr>
            <w:tcW w:w="1928" w:type="dxa"/>
            <w:vAlign w:val="center"/>
          </w:tcPr>
          <w:p>
            <w:pPr>
              <w:pStyle w:val="0"/>
            </w:pPr>
            <w:r>
              <w:rPr>
                <w:sz w:val="20"/>
              </w:rPr>
            </w:r>
          </w:p>
        </w:tc>
        <w:tc>
          <w:tcPr>
            <w:tcW w:w="1191" w:type="dxa"/>
          </w:tcPr>
          <w:p>
            <w:pPr>
              <w:pStyle w:val="0"/>
            </w:pPr>
            <w:r>
              <w:rPr>
                <w:sz w:val="20"/>
              </w:rPr>
            </w:r>
          </w:p>
        </w:tc>
        <w:tc>
          <w:tcPr>
            <w:tcW w:w="992" w:type="dxa"/>
          </w:tcPr>
          <w:p>
            <w:pPr>
              <w:pStyle w:val="0"/>
            </w:pPr>
            <w:r>
              <w:rPr>
                <w:sz w:val="20"/>
              </w:rPr>
            </w:r>
          </w:p>
        </w:tc>
        <w:tc>
          <w:tcPr>
            <w:tcW w:w="737"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1559" w:type="dxa"/>
          </w:tcPr>
          <w:p>
            <w:pPr>
              <w:pStyle w:val="0"/>
            </w:pPr>
            <w:r>
              <w:rPr>
                <w:sz w:val="20"/>
              </w:rPr>
            </w:r>
          </w:p>
        </w:tc>
      </w:tr>
      <w:tr>
        <w:tc>
          <w:tcPr>
            <w:tcW w:w="567" w:type="dxa"/>
            <w:vAlign w:val="center"/>
          </w:tcPr>
          <w:p>
            <w:pPr>
              <w:pStyle w:val="0"/>
              <w:jc w:val="center"/>
            </w:pPr>
            <w:r>
              <w:rPr>
                <w:sz w:val="20"/>
              </w:rPr>
              <w:t xml:space="preserve">...</w:t>
            </w:r>
          </w:p>
        </w:tc>
        <w:tc>
          <w:tcPr>
            <w:tcW w:w="1701" w:type="dxa"/>
            <w:vAlign w:val="center"/>
          </w:tcPr>
          <w:p>
            <w:pPr>
              <w:pStyle w:val="0"/>
            </w:pPr>
            <w:r>
              <w:rPr>
                <w:sz w:val="20"/>
              </w:rPr>
            </w:r>
          </w:p>
        </w:tc>
        <w:tc>
          <w:tcPr>
            <w:tcW w:w="1928" w:type="dxa"/>
            <w:vAlign w:val="center"/>
          </w:tcPr>
          <w:p>
            <w:pPr>
              <w:pStyle w:val="0"/>
            </w:pPr>
            <w:r>
              <w:rPr>
                <w:sz w:val="20"/>
              </w:rPr>
            </w:r>
          </w:p>
        </w:tc>
        <w:tc>
          <w:tcPr>
            <w:tcW w:w="1191" w:type="dxa"/>
          </w:tcPr>
          <w:p>
            <w:pPr>
              <w:pStyle w:val="0"/>
            </w:pPr>
            <w:r>
              <w:rPr>
                <w:sz w:val="20"/>
              </w:rPr>
            </w:r>
          </w:p>
        </w:tc>
        <w:tc>
          <w:tcPr>
            <w:tcW w:w="992" w:type="dxa"/>
          </w:tcPr>
          <w:p>
            <w:pPr>
              <w:pStyle w:val="0"/>
            </w:pPr>
            <w:r>
              <w:rPr>
                <w:sz w:val="20"/>
              </w:rPr>
            </w:r>
          </w:p>
        </w:tc>
        <w:tc>
          <w:tcPr>
            <w:tcW w:w="737"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1559" w:type="dxa"/>
          </w:tcPr>
          <w:p>
            <w:pPr>
              <w:pStyle w:val="0"/>
            </w:pPr>
            <w:r>
              <w:rPr>
                <w:sz w:val="20"/>
              </w:rPr>
            </w:r>
          </w:p>
        </w:tc>
      </w:tr>
    </w:tbl>
    <w:p>
      <w:pPr>
        <w:sectPr>
          <w:headerReference w:type="default" r:id="rId277"/>
          <w:headerReference w:type="first" r:id="rId277"/>
          <w:footerReference w:type="default" r:id="rId278"/>
          <w:footerReference w:type="first" r:id="rId278"/>
          <w:pgSz w:w="16838" w:h="11906" w:orient="landscape"/>
          <w:pgMar w:top="1133" w:right="1440" w:bottom="566" w:left="1440" w:header="0" w:footer="0" w:gutter="0"/>
          <w:titlePg/>
        </w:sectPr>
      </w:pPr>
    </w:p>
    <w:p>
      <w:pPr>
        <w:pStyle w:val="0"/>
        <w:jc w:val="both"/>
      </w:pPr>
      <w:r>
        <w:rPr>
          <w:sz w:val="20"/>
        </w:rPr>
      </w:r>
    </w:p>
    <w:tbl>
      <w:tblPr>
        <w:tblInd w:w="0" w:type="dxa"/>
        <w:tblLayout w:type="fixed"/>
        <w:tblCellMar>
          <w:top w:w="102" w:type="dxa"/>
          <w:left w:w="62" w:type="dxa"/>
          <w:bottom w:w="102" w:type="dxa"/>
          <w:right w:w="62" w:type="dxa"/>
        </w:tblCellMar>
      </w:tblPr>
      <w:tblGrid>
        <w:gridCol w:w="4025"/>
        <w:gridCol w:w="4876"/>
      </w:tblGrid>
      <w:tr>
        <w:tc>
          <w:tcPr>
            <w:tcW w:w="4025" w:type="dxa"/>
            <w:tcBorders>
              <w:top w:val="nil"/>
              <w:left w:val="nil"/>
              <w:bottom w:val="nil"/>
              <w:right w:val="nil"/>
            </w:tcBorders>
          </w:tcPr>
          <w:p>
            <w:pPr>
              <w:pStyle w:val="0"/>
            </w:pPr>
            <w:r>
              <w:rPr>
                <w:sz w:val="20"/>
              </w:rPr>
              <w:t xml:space="preserve">Председатель комиссии по отбору</w:t>
            </w:r>
          </w:p>
        </w:tc>
        <w:tc>
          <w:tcPr>
            <w:tcW w:w="4876" w:type="dxa"/>
            <w:tcBorders>
              <w:top w:val="nil"/>
              <w:left w:val="nil"/>
              <w:bottom w:val="nil"/>
              <w:right w:val="nil"/>
            </w:tcBorders>
          </w:tcPr>
          <w:p>
            <w:pPr>
              <w:pStyle w:val="0"/>
            </w:pPr>
            <w:r>
              <w:rPr>
                <w:sz w:val="20"/>
              </w:rPr>
              <w:t xml:space="preserve">________________/_____________________/</w:t>
            </w:r>
          </w:p>
        </w:tc>
      </w:tr>
      <w:tr>
        <w:tc>
          <w:tcPr>
            <w:tcW w:w="4025" w:type="dxa"/>
            <w:tcBorders>
              <w:top w:val="nil"/>
              <w:left w:val="nil"/>
              <w:bottom w:val="nil"/>
              <w:right w:val="nil"/>
            </w:tcBorders>
          </w:tcPr>
          <w:p>
            <w:pPr>
              <w:pStyle w:val="0"/>
            </w:pPr>
            <w:r>
              <w:rPr>
                <w:sz w:val="20"/>
              </w:rPr>
              <w:t xml:space="preserve">Члены комиссии по отбору</w:t>
            </w:r>
          </w:p>
        </w:tc>
        <w:tc>
          <w:tcPr>
            <w:tcW w:w="4876" w:type="dxa"/>
            <w:tcBorders>
              <w:top w:val="nil"/>
              <w:left w:val="nil"/>
              <w:bottom w:val="nil"/>
              <w:right w:val="nil"/>
            </w:tcBorders>
          </w:tcPr>
          <w:p>
            <w:pPr>
              <w:pStyle w:val="0"/>
            </w:pPr>
            <w:r>
              <w:rPr>
                <w:sz w:val="20"/>
              </w:rPr>
              <w:t xml:space="preserve">________________/_____________________/</w:t>
            </w:r>
          </w:p>
          <w:p>
            <w:pPr>
              <w:pStyle w:val="0"/>
            </w:pPr>
            <w:r>
              <w:rPr>
                <w:sz w:val="20"/>
              </w:rPr>
              <w:t xml:space="preserve">________________/_____________________/</w:t>
            </w:r>
          </w:p>
          <w:p>
            <w:pPr>
              <w:pStyle w:val="0"/>
            </w:pPr>
            <w:r>
              <w:rPr>
                <w:sz w:val="20"/>
              </w:rPr>
              <w:t xml:space="preserve">________________/_____________________/</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Пермского края от 28.12.2017 N 1100-п</w:t>
            <w:br/>
            <w:t>(ред. от 30.03.2023)</w:t>
            <w:br/>
            <w:t>"Об утверждении Порядка предостав...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18.04.2023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Пермского края от 28.12.2017 N 1100-п</w:t>
            <w:br/>
            <w:t>(ред. от 30.03.2023)</w:t>
            <w:br/>
            <w:t>"Об утверждении Порядка предостав...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18.04.2023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5F19DF9338CEF7D07014667FA4A31F7C50A523216E20F829A24246E2B113F8B25638C8EA98F79ADD9DC73389E6F08E5700986E95E6AC689C60AA38BKF4BE" TargetMode = "External"/>
	<Relationship Id="rId8" Type="http://schemas.openxmlformats.org/officeDocument/2006/relationships/hyperlink" Target="consultantplus://offline/ref=A5F19DF9338CEF7D07014667FA4A31F7C50A523216E10A849B25246E2B113F8B25638C8EA98F79ADD9DC73389E6F08E5700986E95E6AC689C60AA38BKF4BE" TargetMode = "External"/>
	<Relationship Id="rId9" Type="http://schemas.openxmlformats.org/officeDocument/2006/relationships/hyperlink" Target="consultantplus://offline/ref=A5F19DF9338CEF7D07014667FA4A31F7C50A523216E10980992D246E2B113F8B25638C8EA98F79ADD9DC73389E6F08E5700986E95E6AC689C60AA38BKF4BE" TargetMode = "External"/>
	<Relationship Id="rId10" Type="http://schemas.openxmlformats.org/officeDocument/2006/relationships/hyperlink" Target="consultantplus://offline/ref=A5F19DF9338CEF7D07014667FA4A31F7C50A523216E00F829F28246E2B113F8B25638C8EA98F79ADD9DC73389E6F08E5700986E95E6AC689C60AA38BKF4BE" TargetMode = "External"/>
	<Relationship Id="rId11" Type="http://schemas.openxmlformats.org/officeDocument/2006/relationships/hyperlink" Target="consultantplus://offline/ref=A5F19DF9338CEF7D07014667FA4A31F7C50A523216E00E809A2C246E2B113F8B25638C8EA98F79ADD9DC73389E6F08E5700986E95E6AC689C60AA38BKF4BE" TargetMode = "External"/>
	<Relationship Id="rId12" Type="http://schemas.openxmlformats.org/officeDocument/2006/relationships/hyperlink" Target="consultantplus://offline/ref=A5F19DF9338CEF7D07014667FA4A31F7C50A523216E708819E24246E2B113F8B25638C8EA98F79ADD9DC73399B6F08E5700986E95E6AC689C60AA38BKF4BE" TargetMode = "External"/>
	<Relationship Id="rId13" Type="http://schemas.openxmlformats.org/officeDocument/2006/relationships/hyperlink" Target="consultantplus://offline/ref=A5F19DF9338CEF7D07014667FA4A31F7C50A523216E70E849E28246E2B113F8B25638C8EA98F79ADD9DC73389E6F08E5700986E95E6AC689C60AA38BKF4BE" TargetMode = "External"/>
	<Relationship Id="rId14" Type="http://schemas.openxmlformats.org/officeDocument/2006/relationships/hyperlink" Target="consultantplus://offline/ref=A5F19DF9338CEF7D07014667FA4A31F7C50A523216E703879F28246E2B113F8B25638C8EA98F79ADD9DC73389E6F08E5700986E95E6AC689C60AA38BKF4BE" TargetMode = "External"/>
	<Relationship Id="rId15" Type="http://schemas.openxmlformats.org/officeDocument/2006/relationships/hyperlink" Target="consultantplus://offline/ref=A5F19DF9338CEF7D07014667FA4A31F7C50A523216E70286942E246E2B113F8B25638C8EA98F79ADD9DC73389E6F08E5700986E95E6AC689C60AA38BKF4BE" TargetMode = "External"/>
	<Relationship Id="rId16" Type="http://schemas.openxmlformats.org/officeDocument/2006/relationships/hyperlink" Target="consultantplus://offline/ref=A5F19DF9338CEF7D07014667FA4A31F7C50A523216E603859E2A246E2B113F8B25638C8EA98F79ADD9DC73389E6F08E5700986E95E6AC689C60AA38BKF4BE" TargetMode = "External"/>
	<Relationship Id="rId17" Type="http://schemas.openxmlformats.org/officeDocument/2006/relationships/hyperlink" Target="consultantplus://offline/ref=A5F19DF9338CEF7D07014667FA4A31F7C50A523216E50E83952D246E2B113F8B25638C8EA98F79ADD9DC73389E6F08E5700986E95E6AC689C60AA38BKF4BE" TargetMode = "External"/>
	<Relationship Id="rId18" Type="http://schemas.openxmlformats.org/officeDocument/2006/relationships/hyperlink" Target="consultantplus://offline/ref=A5F19DF9338CEF7D07014667FA4A31F7C50A523216E403809425246E2B113F8B25638C8EA98F79ADD9DC73389E6F08E5700986E95E6AC689C60AA38BKF4BE" TargetMode = "External"/>
	<Relationship Id="rId19" Type="http://schemas.openxmlformats.org/officeDocument/2006/relationships/hyperlink" Target="consultantplus://offline/ref=A5F19DF9338CEF7D0701586AEC266CFCC9010E3D1FE100D1C1782239744139DE65238ADBEAC877A5D0D72769DF3151B53C428BEC4876C68FKD4BE" TargetMode = "External"/>
	<Relationship Id="rId20" Type="http://schemas.openxmlformats.org/officeDocument/2006/relationships/hyperlink" Target="consultantplus://offline/ref=A5F19DF9338CEF7D07014667FA4A31F7C50A523216E402869D29246E2B113F8B25638C8EA98F79AEDBDF743F90300DF061518AE04874C293DA08A1K84AE" TargetMode = "External"/>
	<Relationship Id="rId21" Type="http://schemas.openxmlformats.org/officeDocument/2006/relationships/hyperlink" Target="consultantplus://offline/ref=A5F19DF9338CEF7D07014667FA4A31F7C50A523216E708819E24246E2B113F8B25638C8EA98F79ADD9DC73399A6F08E5700986E95E6AC689C60AA38BKF4BE" TargetMode = "External"/>
	<Relationship Id="rId22" Type="http://schemas.openxmlformats.org/officeDocument/2006/relationships/hyperlink" Target="consultantplus://offline/ref=A5F19DF9338CEF7D07014667FA4A31F7C50A523216E20F829A24246E2B113F8B25638C8EA98F79ADD9DC73389E6F08E5700986E95E6AC689C60AA38BKF4BE" TargetMode = "External"/>
	<Relationship Id="rId23" Type="http://schemas.openxmlformats.org/officeDocument/2006/relationships/hyperlink" Target="consultantplus://offline/ref=A5F19DF9338CEF7D07014667FA4A31F7C50A523216E10A849B25246E2B113F8B25638C8EA98F79ADD9DC73389E6F08E5700986E95E6AC689C60AA38BKF4BE" TargetMode = "External"/>
	<Relationship Id="rId24" Type="http://schemas.openxmlformats.org/officeDocument/2006/relationships/hyperlink" Target="consultantplus://offline/ref=A5F19DF9338CEF7D07014667FA4A31F7C50A523216E10980992D246E2B113F8B25638C8EA98F79ADD9DC73389D6F08E5700986E95E6AC689C60AA38BKF4BE" TargetMode = "External"/>
	<Relationship Id="rId25" Type="http://schemas.openxmlformats.org/officeDocument/2006/relationships/hyperlink" Target="consultantplus://offline/ref=A5F19DF9338CEF7D07014667FA4A31F7C50A523216E00F829F28246E2B113F8B25638C8EA98F79ADD9DC73389E6F08E5700986E95E6AC689C60AA38BKF4BE" TargetMode = "External"/>
	<Relationship Id="rId26" Type="http://schemas.openxmlformats.org/officeDocument/2006/relationships/hyperlink" Target="consultantplus://offline/ref=A5F19DF9338CEF7D07014667FA4A31F7C50A523216E00E809A2C246E2B113F8B25638C8EA98F79ADD9DC73389E6F08E5700986E95E6AC689C60AA38BKF4BE" TargetMode = "External"/>
	<Relationship Id="rId27" Type="http://schemas.openxmlformats.org/officeDocument/2006/relationships/hyperlink" Target="consultantplus://offline/ref=A5F19DF9338CEF7D07014667FA4A31F7C50A523216E708819E24246E2B113F8B25638C8EA98F79ADD9DC7339996F08E5700986E95E6AC689C60AA38BKF4BE" TargetMode = "External"/>
	<Relationship Id="rId28" Type="http://schemas.openxmlformats.org/officeDocument/2006/relationships/hyperlink" Target="consultantplus://offline/ref=A5F19DF9338CEF7D07014667FA4A31F7C50A523216E70E849E28246E2B113F8B25638C8EA98F79ADD9DC73389E6F08E5700986E95E6AC689C60AA38BKF4BE" TargetMode = "External"/>
	<Relationship Id="rId29" Type="http://schemas.openxmlformats.org/officeDocument/2006/relationships/hyperlink" Target="consultantplus://offline/ref=A5F19DF9338CEF7D07014667FA4A31F7C50A523216E703879F28246E2B113F8B25638C8EA98F79ADD9DC73389E6F08E5700986E95E6AC689C60AA38BKF4BE" TargetMode = "External"/>
	<Relationship Id="rId30" Type="http://schemas.openxmlformats.org/officeDocument/2006/relationships/hyperlink" Target="consultantplus://offline/ref=A5F19DF9338CEF7D07014667FA4A31F7C50A523216E70286942E246E2B113F8B25638C8EA98F79ADD9DC73389E6F08E5700986E95E6AC689C60AA38BKF4BE" TargetMode = "External"/>
	<Relationship Id="rId31" Type="http://schemas.openxmlformats.org/officeDocument/2006/relationships/hyperlink" Target="consultantplus://offline/ref=A5F19DF9338CEF7D07014667FA4A31F7C50A523216E603859E2A246E2B113F8B25638C8EA98F79ADD9DC73389E6F08E5700986E95E6AC689C60AA38BKF4BE" TargetMode = "External"/>
	<Relationship Id="rId32" Type="http://schemas.openxmlformats.org/officeDocument/2006/relationships/hyperlink" Target="consultantplus://offline/ref=A5F19DF9338CEF7D07014667FA4A31F7C50A523216E50E83952D246E2B113F8B25638C8EA98F79ADD9DC73389E6F08E5700986E95E6AC689C60AA38BKF4BE" TargetMode = "External"/>
	<Relationship Id="rId33" Type="http://schemas.openxmlformats.org/officeDocument/2006/relationships/hyperlink" Target="consultantplus://offline/ref=A5F19DF9338CEF7D07014667FA4A31F7C50A523216E403809425246E2B113F8B25638C8EA98F79ADD9DC73389E6F08E5700986E95E6AC689C60AA38BKF4BE" TargetMode = "External"/>
	<Relationship Id="rId34" Type="http://schemas.openxmlformats.org/officeDocument/2006/relationships/hyperlink" Target="consultantplus://offline/ref=A5F19DF9338CEF7D07014667FA4A31F7C50A523216E402869D29246E2B113F8B25638C8EA98F79AEDBDF743F90300DF061518AE04874C293DA08A1K84AE" TargetMode = "External"/>
	<Relationship Id="rId35" Type="http://schemas.openxmlformats.org/officeDocument/2006/relationships/hyperlink" Target="consultantplus://offline/ref=A5F19DF9338CEF7D07014667FA4A31F7C50A523216E00F829F28246E2B113F8B25638C8EA98F79ADD9DC73399B6F08E5700986E95E6AC689C60AA38BKF4BE" TargetMode = "External"/>
	<Relationship Id="rId36" Type="http://schemas.openxmlformats.org/officeDocument/2006/relationships/hyperlink" Target="consultantplus://offline/ref=A5F19DF9338CEF7D07014667FA4A31F7C50A523216E703879F28246E2B113F8B25638C8EA98F79ADD9DC73399B6F08E5700986E95E6AC689C60AA38BKF4BE" TargetMode = "External"/>
	<Relationship Id="rId37" Type="http://schemas.openxmlformats.org/officeDocument/2006/relationships/hyperlink" Target="consultantplus://offline/ref=A5F19DF9338CEF7D07014667FA4A31F7C50A523216E603859E2A246E2B113F8B25638C8EA98F79ADD9DC73399B6F08E5700986E95E6AC689C60AA38BKF4BE" TargetMode = "External"/>
	<Relationship Id="rId38" Type="http://schemas.openxmlformats.org/officeDocument/2006/relationships/hyperlink" Target="consultantplus://offline/ref=A5F19DF9338CEF7D07014667FA4A31F7C50A523216E00F829F28246E2B113F8B25638C8EA98F79ADD9DC73399A6F08E5700986E95E6AC689C60AA38BKF4BE" TargetMode = "External"/>
	<Relationship Id="rId39" Type="http://schemas.openxmlformats.org/officeDocument/2006/relationships/hyperlink" Target="consultantplus://offline/ref=A5F19DF9338CEF7D07014667FA4A31F7C50A523216E50E83952D246E2B113F8B25638C8EA98F79ADD9DC73389D6F08E5700986E95E6AC689C60AA38BKF4BE" TargetMode = "External"/>
	<Relationship Id="rId40" Type="http://schemas.openxmlformats.org/officeDocument/2006/relationships/hyperlink" Target="consultantplus://offline/ref=A5F19DF9338CEF7D07014667FA4A31F7C50A523216E403809425246E2B113F8B25638C8EA98F79ADD9DC73399B6F08E5700986E95E6AC689C60AA38BKF4BE" TargetMode = "External"/>
	<Relationship Id="rId41" Type="http://schemas.openxmlformats.org/officeDocument/2006/relationships/hyperlink" Target="consultantplus://offline/ref=A5F19DF9338CEF7D0701586AEC266CFCC9020D3714E100D1C1782239744139DE65238AD9EDC37FF8889826359A6C42B4304289E854K747E" TargetMode = "External"/>
	<Relationship Id="rId42" Type="http://schemas.openxmlformats.org/officeDocument/2006/relationships/hyperlink" Target="consultantplus://offline/ref=A5F19DF9338CEF7D0701586AEC266CFCC905083A1EE700D1C1782239744139DE7723D2D7EBC36AACDDC2713899K647E" TargetMode = "External"/>
	<Relationship Id="rId43" Type="http://schemas.openxmlformats.org/officeDocument/2006/relationships/hyperlink" Target="consultantplus://offline/ref=A5F19DF9338CEF7D0701586AEC266CFCC905083A1EE700D1C1782239744139DE65238ADBEACF77ACDED72769DF3151B53C428BEC4876C68FKD4BE" TargetMode = "External"/>
	<Relationship Id="rId44" Type="http://schemas.openxmlformats.org/officeDocument/2006/relationships/hyperlink" Target="consultantplus://offline/ref=A5F19DF9338CEF7D0701586AEC266CFCC905083A1EE700D1C1782239744139DE65238ADBEACE75ADD1D72769DF3151B53C428BEC4876C68FKD4BE" TargetMode = "External"/>
	<Relationship Id="rId45" Type="http://schemas.openxmlformats.org/officeDocument/2006/relationships/hyperlink" Target="consultantplus://offline/ref=A5F19DF9338CEF7D07014667FA4A31F7C50A523216E703879F28246E2B113F8B25638C8EA98F79ADD9DC73399A6F08E5700986E95E6AC689C60AA38BKF4BE" TargetMode = "External"/>
	<Relationship Id="rId46" Type="http://schemas.openxmlformats.org/officeDocument/2006/relationships/hyperlink" Target="consultantplus://offline/ref=A5F19DF9338CEF7D0701586AEC266CFCC9020A3C10E600D1C1782239744139DE7723D2D7EBC36AACDDC2713899K647E" TargetMode = "External"/>
	<Relationship Id="rId47" Type="http://schemas.openxmlformats.org/officeDocument/2006/relationships/hyperlink" Target="consultantplus://offline/ref=A5F19DF9338CEF7D07014667FA4A31F7C50A523216E10A849B25246E2B113F8B25638C8EA98F79ADD9DC7339996F08E5700986E95E6AC689C60AA38BKF4BE" TargetMode = "External"/>
	<Relationship Id="rId48" Type="http://schemas.openxmlformats.org/officeDocument/2006/relationships/hyperlink" Target="consultantplus://offline/ref=A5F19DF9338CEF7D0701586AEC266CFCCE050F3916EA00D1C1782239744139DE65238ADBEACA76AAD0D72769DF3151B53C428BEC4876C68FKD4BE" TargetMode = "External"/>
	<Relationship Id="rId49" Type="http://schemas.openxmlformats.org/officeDocument/2006/relationships/hyperlink" Target="consultantplus://offline/ref=A5F19DF9338CEF7D0701586AEC266CFCC9050C371FE200D1C1782239744139DE65238ADBEACB74ADDAD72769DF3151B53C428BEC4876C68FKD4BE" TargetMode = "External"/>
	<Relationship Id="rId50" Type="http://schemas.openxmlformats.org/officeDocument/2006/relationships/hyperlink" Target="consultantplus://offline/ref=A5F19DF9338CEF7D07014667FA4A31F7C50A523216E703879F28246E2B113F8B25638C8EA98F79ADD9DC73399E6F08E5700986E95E6AC689C60AA38BKF4BE" TargetMode = "External"/>
	<Relationship Id="rId51" Type="http://schemas.openxmlformats.org/officeDocument/2006/relationships/hyperlink" Target="consultantplus://offline/ref=A5F19DF9338CEF7D07014667FA4A31F7C50A523216E403809425246E2B113F8B25638C8EA98F79ADD9DC73399A6F08E5700986E95E6AC689C60AA38BKF4BE" TargetMode = "External"/>
	<Relationship Id="rId52" Type="http://schemas.openxmlformats.org/officeDocument/2006/relationships/hyperlink" Target="consultantplus://offline/ref=A5F19DF9338CEF7D07014667FA4A31F7C50A523216E10A849B25246E2B113F8B25638C8EA98F79ADD9DC7339986F08E5700986E95E6AC689C60AA38BKF4BE" TargetMode = "External"/>
	<Relationship Id="rId53" Type="http://schemas.openxmlformats.org/officeDocument/2006/relationships/hyperlink" Target="consultantplus://offline/ref=A5F19DF9338CEF7D07014667FA4A31F7C50A523216E708819E24246E2B113F8B25638C8EA98F79ADD9DC7339986F08E5700986E95E6AC689C60AA38BKF4BE" TargetMode = "External"/>
	<Relationship Id="rId54" Type="http://schemas.openxmlformats.org/officeDocument/2006/relationships/hyperlink" Target="consultantplus://offline/ref=A5F19DF9338CEF7D07014667FA4A31F7C50A523216E703879F28246E2B113F8B25638C8EA98F79ADD9DC7339926F08E5700986E95E6AC689C60AA38BKF4BE" TargetMode = "External"/>
	<Relationship Id="rId55" Type="http://schemas.openxmlformats.org/officeDocument/2006/relationships/hyperlink" Target="consultantplus://offline/ref=A5F19DF9338CEF7D07014667FA4A31F7C50A523216E603859E2A246E2B113F8B25638C8EA98F79ADD9DC7339996F08E5700986E95E6AC689C60AA38BKF4BE" TargetMode = "External"/>
	<Relationship Id="rId56" Type="http://schemas.openxmlformats.org/officeDocument/2006/relationships/hyperlink" Target="consultantplus://offline/ref=A5F19DF9338CEF7D07014667FA4A31F7C50A523216E703879F28246E2B113F8B25638C8EA98F79ADD9DC733A9A6F08E5700986E95E6AC689C60AA38BKF4BE" TargetMode = "External"/>
	<Relationship Id="rId57" Type="http://schemas.openxmlformats.org/officeDocument/2006/relationships/hyperlink" Target="consultantplus://offline/ref=A5F19DF9338CEF7D07014667FA4A31F7C50A523216E603859E2A246E2B113F8B25638C8EA98F79ADD9DC7339986F08E5700986E95E6AC689C60AA38BKF4BE" TargetMode = "External"/>
	<Relationship Id="rId58" Type="http://schemas.openxmlformats.org/officeDocument/2006/relationships/hyperlink" Target="consultantplus://offline/ref=A5F19DF9338CEF7D07014667FA4A31F7C50A523216E403809425246E2B113F8B25638C8EA98F79ADD9DC7339996F08E5700986E95E6AC689C60AA38BKF4BE" TargetMode = "External"/>
	<Relationship Id="rId59" Type="http://schemas.openxmlformats.org/officeDocument/2006/relationships/hyperlink" Target="consultantplus://offline/ref=A5F19DF9338CEF7D07014667FA4A31F7C50A523216E603859E2A246E2B113F8B25638C8EA98F79ADD9DC73399F6F08E5700986E95E6AC689C60AA38BKF4BE" TargetMode = "External"/>
	<Relationship Id="rId60" Type="http://schemas.openxmlformats.org/officeDocument/2006/relationships/hyperlink" Target="consultantplus://offline/ref=A5F19DF9338CEF7D07014667FA4A31F7C50A523216E403809425246E2B113F8B25638C8EA98F79ADD9DC7339986F08E5700986E95E6AC689C60AA38BKF4BE" TargetMode = "External"/>
	<Relationship Id="rId61" Type="http://schemas.openxmlformats.org/officeDocument/2006/relationships/hyperlink" Target="consultantplus://offline/ref=A5F19DF9338CEF7D07014667FA4A31F7C50A523216E703879F28246E2B113F8B25638C8EA98F79ADD9DC733A996F08E5700986E95E6AC689C60AA38BKF4BE" TargetMode = "External"/>
	<Relationship Id="rId62" Type="http://schemas.openxmlformats.org/officeDocument/2006/relationships/hyperlink" Target="consultantplus://offline/ref=A5F19DF9338CEF7D07014667FA4A31F7C50A523216E403809425246E2B113F8B25638C8EA98F79ADD9DC73399F6F08E5700986E95E6AC689C60AA38BKF4BE" TargetMode = "External"/>
	<Relationship Id="rId63" Type="http://schemas.openxmlformats.org/officeDocument/2006/relationships/hyperlink" Target="consultantplus://offline/ref=A5F19DF9338CEF7D0701586AEC266CFCC9020A3C10E600D1C1782239744139DE7723D2D7EBC36AACDDC2713899K647E" TargetMode = "External"/>
	<Relationship Id="rId64" Type="http://schemas.openxmlformats.org/officeDocument/2006/relationships/hyperlink" Target="consultantplus://offline/ref=A5F19DF9338CEF7D07014667FA4A31F7C50A523216E10A849B25246E2B113F8B25638C8EA98F79ADD9DC73399C6F08E5700986E95E6AC689C60AA38BKF4BE" TargetMode = "External"/>
	<Relationship Id="rId65" Type="http://schemas.openxmlformats.org/officeDocument/2006/relationships/hyperlink" Target="consultantplus://offline/ref=A5F19DF9338CEF7D0701586AEC266CFCC905083A1EE700D1C1782239744139DE7723D2D7EBC36AACDDC2713899K647E" TargetMode = "External"/>
	<Relationship Id="rId66" Type="http://schemas.openxmlformats.org/officeDocument/2006/relationships/hyperlink" Target="consultantplus://offline/ref=A5F19DF9338CEF7D0701586AEC266CFCC905083A1EE700D1C1782239744139DE65238ADBEACB73ADD8D72769DF3151B53C428BEC4876C68FKD4BE" TargetMode = "External"/>
	<Relationship Id="rId67" Type="http://schemas.openxmlformats.org/officeDocument/2006/relationships/hyperlink" Target="consultantplus://offline/ref=A5F19DF9338CEF7D0701586AEC266CFCC905083A1EE700D1C1782239744139DE65238ADBEACA74A9DBD72769DF3151B53C428BEC4876C68FKD4BE" TargetMode = "External"/>
	<Relationship Id="rId68" Type="http://schemas.openxmlformats.org/officeDocument/2006/relationships/hyperlink" Target="consultantplus://offline/ref=A5F19DF9338CEF7D0701586AEC266CFCC905083A1EE700D1C1782239744139DE65238ADBEACA70ADD1D72769DF3151B53C428BEC4876C68FKD4BE" TargetMode = "External"/>
	<Relationship Id="rId69" Type="http://schemas.openxmlformats.org/officeDocument/2006/relationships/hyperlink" Target="consultantplus://offline/ref=A5F19DF9338CEF7D0701586AEC266CFCC905083A1EE700D1C1782239744139DE65238ADBEACA70AFDCD72769DF3151B53C428BEC4876C68FKD4BE" TargetMode = "External"/>
	<Relationship Id="rId70" Type="http://schemas.openxmlformats.org/officeDocument/2006/relationships/hyperlink" Target="consultantplus://offline/ref=A5F19DF9338CEF7D0701586AEC266CFCC905083A1EE700D1C1782239744139DE65238ADBEACA71AADED72769DF3151B53C428BEC4876C68FKD4BE" TargetMode = "External"/>
	<Relationship Id="rId71" Type="http://schemas.openxmlformats.org/officeDocument/2006/relationships/hyperlink" Target="consultantplus://offline/ref=A5F19DF9338CEF7D0701586AEC266CFCC905083A1EE700D1C1782239744139DE65238ADBEAC971AED8D72769DF3151B53C428BEC4876C68FKD4BE" TargetMode = "External"/>
	<Relationship Id="rId72" Type="http://schemas.openxmlformats.org/officeDocument/2006/relationships/hyperlink" Target="consultantplus://offline/ref=A5F19DF9338CEF7D0701586AEC266CFCC905083A1EE700D1C1782239744139DE65238ADBEAC97CAFD9D72769DF3151B53C428BEC4876C68FKD4BE" TargetMode = "External"/>
	<Relationship Id="rId73" Type="http://schemas.openxmlformats.org/officeDocument/2006/relationships/hyperlink" Target="consultantplus://offline/ref=A5F19DF9338CEF7D0701586AEC266CFCC905083A1EE700D1C1782239744139DE65238ADBEACF77ACDED72769DF3151B53C428BEC4876C68FKD4BE" TargetMode = "External"/>
	<Relationship Id="rId74" Type="http://schemas.openxmlformats.org/officeDocument/2006/relationships/hyperlink" Target="consultantplus://offline/ref=A5F19DF9338CEF7D0701586AEC266CFCC905083A1EE700D1C1782239744139DE65238ADBEACE75ADD1D72769DF3151B53C428BEC4876C68FKD4BE" TargetMode = "External"/>
	<Relationship Id="rId75" Type="http://schemas.openxmlformats.org/officeDocument/2006/relationships/hyperlink" Target="consultantplus://offline/ref=A5F19DF9338CEF7D07014667FA4A31F7C50A523216E403809425246E2B113F8B25638C8EA98F79ADD9DC73399D6F08E5700986E95E6AC689C60AA38BKF4BE" TargetMode = "External"/>
	<Relationship Id="rId76" Type="http://schemas.openxmlformats.org/officeDocument/2006/relationships/hyperlink" Target="consultantplus://offline/ref=A5F19DF9338CEF7D0701586AEC266CFCC905083A1EE700D1C1782239744139DE65238ADBEACF77ACDED72769DF3151B53C428BEC4876C68FKD4BE" TargetMode = "External"/>
	<Relationship Id="rId77" Type="http://schemas.openxmlformats.org/officeDocument/2006/relationships/hyperlink" Target="consultantplus://offline/ref=A5F19DF9338CEF7D0701586AEC266CFCC9000B3710E000D1C1782239744139DE7723D2D7EBC36AACDDC2713899K647E" TargetMode = "External"/>
	<Relationship Id="rId78" Type="http://schemas.openxmlformats.org/officeDocument/2006/relationships/hyperlink" Target="consultantplus://offline/ref=A5F19DF9338CEF7D0701586AEC266CFCC905083A1EE700D1C1782239744139DE65238ADBEACE75ADD1D72769DF3151B53C428BEC4876C68FKD4BE" TargetMode = "External"/>
	<Relationship Id="rId79" Type="http://schemas.openxmlformats.org/officeDocument/2006/relationships/hyperlink" Target="consultantplus://offline/ref=A5F19DF9338CEF7D0701586AEC266CFCC9000B3710E000D1C1782239744139DE65238ADEE9C87FF8889826359A6C42B4304289E854K747E" TargetMode = "External"/>
	<Relationship Id="rId80" Type="http://schemas.openxmlformats.org/officeDocument/2006/relationships/hyperlink" Target="consultantplus://offline/ref=A5F19DF9338CEF7D07014667FA4A31F7C50A523216E703879F28246E2B113F8B25638C8EA98F79ADD9DC733A936F08E5700986E95E6AC689C60AA38BKF4BE" TargetMode = "External"/>
	<Relationship Id="rId81" Type="http://schemas.openxmlformats.org/officeDocument/2006/relationships/hyperlink" Target="consultantplus://offline/ref=A5F19DF9338CEF7D07014667FA4A31F7C50A523216E50E83952D246E2B113F8B25638C8EA98F79ADD9DC73389C6F08E5700986E95E6AC689C60AA38BKF4BE" TargetMode = "External"/>
	<Relationship Id="rId82" Type="http://schemas.openxmlformats.org/officeDocument/2006/relationships/hyperlink" Target="consultantplus://offline/ref=A5F19DF9338CEF7D07014667FA4A31F7C50A523216E00F829F28246E2B113F8B25638C8EA98F79ADD9DC733A936F08E5700986E95E6AC689C60AA38BKF4BE" TargetMode = "External"/>
	<Relationship Id="rId83" Type="http://schemas.openxmlformats.org/officeDocument/2006/relationships/hyperlink" Target="consultantplus://offline/ref=A5F19DF9338CEF7D07014667FA4A31F7C50A523216E70286942E246E2B113F8B25638C8EA98F79ADD9DC73389D6F08E5700986E95E6AC689C60AA38BKF4BE" TargetMode = "External"/>
	<Relationship Id="rId84" Type="http://schemas.openxmlformats.org/officeDocument/2006/relationships/hyperlink" Target="consultantplus://offline/ref=A5F19DF9338CEF7D07014667FA4A31F7C50A523216E703879F28246E2B113F8B25638C8EA98F79ADD9DC733B9A6F08E5700986E95E6AC689C60AA38BKF4BE" TargetMode = "External"/>
	<Relationship Id="rId85" Type="http://schemas.openxmlformats.org/officeDocument/2006/relationships/hyperlink" Target="consultantplus://offline/ref=A5F19DF9338CEF7D07014667FA4A31F7C50A523216E403809425246E2B113F8B25638C8EA98F79ADD9DC73399C6F08E5700986E95E6AC689C60AA38BKF4BE" TargetMode = "External"/>
	<Relationship Id="rId86" Type="http://schemas.openxmlformats.org/officeDocument/2006/relationships/hyperlink" Target="consultantplus://offline/ref=A5F19DF9338CEF7D07014667FA4A31F7C50A523216E00F829F28246E2B113F8B25638C8EA98F79ADD9DC733B9B6F08E5700986E95E6AC689C60AA38BKF4BE" TargetMode = "External"/>
	<Relationship Id="rId87" Type="http://schemas.openxmlformats.org/officeDocument/2006/relationships/hyperlink" Target="consultantplus://offline/ref=A5F19DF9338CEF7D0701586AEC266CFCC905083A1EE700D1C1782239744139DE7723D2D7EBC36AACDDC2713899K647E" TargetMode = "External"/>
	<Relationship Id="rId88" Type="http://schemas.openxmlformats.org/officeDocument/2006/relationships/hyperlink" Target="consultantplus://offline/ref=A5F19DF9338CEF7D07014667FA4A31F7C50A523216E403809425246E2B113F8B25638C8EA98F79ADD9DC7339926F08E5700986E95E6AC689C60AA38BKF4BE" TargetMode = "External"/>
	<Relationship Id="rId89" Type="http://schemas.openxmlformats.org/officeDocument/2006/relationships/hyperlink" Target="consultantplus://offline/ref=A5F19DF9338CEF7D07014667FA4A31F7C50A523216E403809425246E2B113F8B25638C8EA98F79ADD9DC733A9B6F08E5700986E95E6AC689C60AA38BKF4BE" TargetMode = "External"/>
	<Relationship Id="rId90" Type="http://schemas.openxmlformats.org/officeDocument/2006/relationships/hyperlink" Target="consultantplus://offline/ref=A5F19DF9338CEF7D07014667FA4A31F7C50A523216E10A849B25246E2B113F8B25638C8EA98F79ADD9DC733A9F6F08E5700986E95E6AC689C60AA38BKF4BE" TargetMode = "External"/>
	<Relationship Id="rId91" Type="http://schemas.openxmlformats.org/officeDocument/2006/relationships/hyperlink" Target="consultantplus://offline/ref=A5F19DF9338CEF7D07014667FA4A31F7C50A523216E00F829F28246E2B113F8B25638C8EA98F79ADD9DC733B996F08E5700986E95E6AC689C60AA38BKF4BE" TargetMode = "External"/>
	<Relationship Id="rId92" Type="http://schemas.openxmlformats.org/officeDocument/2006/relationships/hyperlink" Target="consultantplus://offline/ref=A5F19DF9338CEF7D07014667FA4A31F7C50A523216E703879F28246E2B113F8B25638C8EA98F79ADD9DC733B986F08E5700986E95E6AC689C60AA38BKF4BE" TargetMode = "External"/>
	<Relationship Id="rId93" Type="http://schemas.openxmlformats.org/officeDocument/2006/relationships/hyperlink" Target="consultantplus://offline/ref=A5F19DF9338CEF7D07014667FA4A31F7C50A523216E603859E2A246E2B113F8B25638C8EA98F79ADD9DC73399D6F08E5700986E95E6AC689C60AA38BKF4BE" TargetMode = "External"/>
	<Relationship Id="rId94" Type="http://schemas.openxmlformats.org/officeDocument/2006/relationships/hyperlink" Target="consultantplus://offline/ref=A5F19DF9338CEF7D07014667FA4A31F7C50A523216E403809425246E2B113F8B25638C8EA98F79ADD9DC733A996F08E5700986E95E6AC689C60AA38BKF4BE" TargetMode = "External"/>
	<Relationship Id="rId95" Type="http://schemas.openxmlformats.org/officeDocument/2006/relationships/hyperlink" Target="consultantplus://offline/ref=A5F19DF9338CEF7D07014667FA4A31F7C50A523216E708819E24246E2B113F8B25638C8EA98F79ADD9DC7339936F08E5700986E95E6AC689C60AA38BKF4BE" TargetMode = "External"/>
	<Relationship Id="rId96" Type="http://schemas.openxmlformats.org/officeDocument/2006/relationships/hyperlink" Target="consultantplus://offline/ref=A5F19DF9338CEF7D07014667FA4A31F7C50A523216E00F829F28246E2B113F8B25638C8EA98F79ADD9DC733B986F08E5700986E95E6AC689C60AA38BKF4BE" TargetMode = "External"/>
	<Relationship Id="rId97" Type="http://schemas.openxmlformats.org/officeDocument/2006/relationships/hyperlink" Target="consultantplus://offline/ref=A5F19DF9338CEF7D07014667FA4A31F7C50A523216E20F829A24246E2B113F8B25638C8EA98F79ADD9DC73399E6F08E5700986E95E6AC689C60AA38BKF4BE" TargetMode = "External"/>
	<Relationship Id="rId98" Type="http://schemas.openxmlformats.org/officeDocument/2006/relationships/hyperlink" Target="consultantplus://offline/ref=A5F19DF9338CEF7D07014667FA4A31F7C50A523216E708819E24246E2B113F8B25638C8EA98F79ADD9DC7339926F08E5700986E95E6AC689C60AA38BKF4BE" TargetMode = "External"/>
	<Relationship Id="rId99" Type="http://schemas.openxmlformats.org/officeDocument/2006/relationships/hyperlink" Target="consultantplus://offline/ref=A5F19DF9338CEF7D07014667FA4A31F7C50A523216E403809425246E2B113F8B25638C8EA98F79ADD9DC733A9F6F08E5700986E95E6AC689C60AA38BKF4BE" TargetMode = "External"/>
	<Relationship Id="rId100" Type="http://schemas.openxmlformats.org/officeDocument/2006/relationships/hyperlink" Target="consultantplus://offline/ref=A5F19DF9338CEF7D07014667FA4A31F7C50A523216E403809425246E2B113F8B25638C8EA98F79ADD9DC733A9D6F08E5700986E95E6AC689C60AA38BKF4BE" TargetMode = "External"/>
	<Relationship Id="rId101" Type="http://schemas.openxmlformats.org/officeDocument/2006/relationships/hyperlink" Target="consultantplus://offline/ref=A5F19DF9338CEF7D07014667FA4A31F7C50A523216E10A849B25246E2B113F8B25638C8EA98F79ADD9DC733A9C6F08E5700986E95E6AC689C60AA38BKF4BE" TargetMode = "External"/>
	<Relationship Id="rId102" Type="http://schemas.openxmlformats.org/officeDocument/2006/relationships/hyperlink" Target="consultantplus://offline/ref=A5F19DF9338CEF7D07014667FA4A31F7C50A523216E708819E24246E2B113F8B25638C8EA98F79ADD9DC733A9B6F08E5700986E95E6AC689C60AA38BKF4BE" TargetMode = "External"/>
	<Relationship Id="rId103" Type="http://schemas.openxmlformats.org/officeDocument/2006/relationships/hyperlink" Target="consultantplus://offline/ref=A5F19DF9338CEF7D07014667FA4A31F7C50A523216E708819E24246E2B113F8B25638C8EA98F79ADD9DC733A9A6F08E5700986E95E6AC689C60AA38BKF4BE" TargetMode = "External"/>
	<Relationship Id="rId104" Type="http://schemas.openxmlformats.org/officeDocument/2006/relationships/hyperlink" Target="consultantplus://offline/ref=A5F19DF9338CEF7D07014667FA4A31F7C50A523216E708819E24246E2B113F8B25638C8EA98F79ADD9DC733A996F08E5700986E95E6AC689C60AA38BKF4BE" TargetMode = "External"/>
	<Relationship Id="rId105" Type="http://schemas.openxmlformats.org/officeDocument/2006/relationships/hyperlink" Target="consultantplus://offline/ref=A5F19DF9338CEF7D07014667FA4A31F7C50A523216E403809425246E2B113F8B25638C8EA98F79ADD9DC733A936F08E5700986E95E6AC689C60AA38BKF4BE" TargetMode = "External"/>
	<Relationship Id="rId106" Type="http://schemas.openxmlformats.org/officeDocument/2006/relationships/hyperlink" Target="consultantplus://offline/ref=A5F19DF9338CEF7D07014667FA4A31F7C50A523216E603859E2A246E2B113F8B25638C8EA98F79ADD9DC73399C6F08E5700986E95E6AC689C60AA38BKF4BE" TargetMode = "External"/>
	<Relationship Id="rId107" Type="http://schemas.openxmlformats.org/officeDocument/2006/relationships/hyperlink" Target="consultantplus://offline/ref=A5F19DF9338CEF7D07014667FA4A31F7C50A523216E603859E2A246E2B113F8B25638C8EA98F79ADD9DC7339936F08E5700986E95E6AC689C60AA38BKF4BE" TargetMode = "External"/>
	<Relationship Id="rId108" Type="http://schemas.openxmlformats.org/officeDocument/2006/relationships/hyperlink" Target="consultantplus://offline/ref=A5F19DF9338CEF7D07014667FA4A31F7C50A523216E10A849B25246E2B113F8B25638C8EA98F79ADD9DC733B996F08E5700986E95E6AC689C60AA38BKF4BE" TargetMode = "External"/>
	<Relationship Id="rId109" Type="http://schemas.openxmlformats.org/officeDocument/2006/relationships/hyperlink" Target="consultantplus://offline/ref=A5F19DF9338CEF7D07014667FA4A31F7C50A523216E703879F28246E2B113F8B25638C8EA98F79ADD9DC733B9F6F08E5700986E95E6AC689C60AA38BKF4BE" TargetMode = "External"/>
	<Relationship Id="rId110" Type="http://schemas.openxmlformats.org/officeDocument/2006/relationships/hyperlink" Target="consultantplus://offline/ref=A5F19DF9338CEF7D07014667FA4A31F7C50A523216E708819E24246E2B113F8B25638C8EA98F79ADD9DC733A9F6F08E5700986E95E6AC689C60AA38BKF4BE" TargetMode = "External"/>
	<Relationship Id="rId111" Type="http://schemas.openxmlformats.org/officeDocument/2006/relationships/hyperlink" Target="consultantplus://offline/ref=A5F19DF9338CEF7D0701586AEC266CFCC905083A1EE700D1C1782239744139DE65238ADBEACE75ADD1D72769DF3151B53C428BEC4876C68FKD4BE" TargetMode = "External"/>
	<Relationship Id="rId112" Type="http://schemas.openxmlformats.org/officeDocument/2006/relationships/hyperlink" Target="consultantplus://offline/ref=A5F19DF9338CEF7D0701586AEC266CFCC905083A1EE700D1C1782239744139DE65238ADBEACF77ACDED72769DF3151B53C428BEC4876C68FKD4BE" TargetMode = "External"/>
	<Relationship Id="rId113" Type="http://schemas.openxmlformats.org/officeDocument/2006/relationships/hyperlink" Target="consultantplus://offline/ref=A5F19DF9338CEF7D07014667FA4A31F7C50A523216E703879F28246E2B113F8B25638C8EA98F79ADD9DC733B9E6F08E5700986E95E6AC689C60AA38BKF4BE" TargetMode = "External"/>
	<Relationship Id="rId114" Type="http://schemas.openxmlformats.org/officeDocument/2006/relationships/hyperlink" Target="consultantplus://offline/ref=A5F19DF9338CEF7D07014667FA4A31F7C50A523216E00F829F28246E2B113F8B25638C8EA98F79ADD9DC733C9C6F08E5700986E95E6AC689C60AA38BKF4BE" TargetMode = "External"/>
	<Relationship Id="rId115" Type="http://schemas.openxmlformats.org/officeDocument/2006/relationships/hyperlink" Target="consultantplus://offline/ref=A5F19DF9338CEF7D07014667FA4A31F7C50A523216E703879F28246E2B113F8B25638C8EA98F79ADD9DC733C9B6F08E5700986E95E6AC689C60AA38BKF4BE" TargetMode = "External"/>
	<Relationship Id="rId116" Type="http://schemas.openxmlformats.org/officeDocument/2006/relationships/hyperlink" Target="consultantplus://offline/ref=A5F19DF9338CEF7D07014667FA4A31F7C50A523216E603859E2A246E2B113F8B25638C8EA98F79ADD9DC733A9B6F08E5700986E95E6AC689C60AA38BKF4BE" TargetMode = "External"/>
	<Relationship Id="rId117" Type="http://schemas.openxmlformats.org/officeDocument/2006/relationships/hyperlink" Target="consultantplus://offline/ref=A5F19DF9338CEF7D07014667FA4A31F7C50A523216E403809425246E2B113F8B25638C8EA98F79ADD9DC733B9B6F08E5700986E95E6AC689C60AA38BKF4BE" TargetMode = "External"/>
	<Relationship Id="rId118" Type="http://schemas.openxmlformats.org/officeDocument/2006/relationships/hyperlink" Target="consultantplus://offline/ref=A5F19DF9338CEF7D07014667FA4A31F7C50A523216E00E809A2C246E2B113F8B25638C8EA98F79ADD9DC73399B6F08E5700986E95E6AC689C60AA38BKF4BE" TargetMode = "External"/>
	<Relationship Id="rId119" Type="http://schemas.openxmlformats.org/officeDocument/2006/relationships/hyperlink" Target="consultantplus://offline/ref=A5F19DF9338CEF7D07014667FA4A31F7C50A523216E708819E24246E2B113F8B25638C8EA98F79ADD9DC733A936F08E5700986E95E6AC689C60AA38BKF4BE" TargetMode = "External"/>
	<Relationship Id="rId120" Type="http://schemas.openxmlformats.org/officeDocument/2006/relationships/hyperlink" Target="consultantplus://offline/ref=A5F19DF9338CEF7D07014667FA4A31F7C50A523216E708819E24246E2B113F8B25638C8EA98F79ADD9DC733A926F08E5700986E95E6AC689C60AA38BKF4BE" TargetMode = "External"/>
	<Relationship Id="rId121" Type="http://schemas.openxmlformats.org/officeDocument/2006/relationships/hyperlink" Target="consultantplus://offline/ref=A5F19DF9338CEF7D07014667FA4A31F7C50A523216E403809425246E2B113F8B25638C8EA98F79ADD9DC733B996F08E5700986E95E6AC689C60AA38BKF4BE" TargetMode = "External"/>
	<Relationship Id="rId122" Type="http://schemas.openxmlformats.org/officeDocument/2006/relationships/hyperlink" Target="consultantplus://offline/ref=A5F19DF9338CEF7D07014667FA4A31F7C50A523216E603859E2A246E2B113F8B25638C8EA98F79ADD9DC733A9A6F08E5700986E95E6AC689C60AA38BKF4BE" TargetMode = "External"/>
	<Relationship Id="rId123" Type="http://schemas.openxmlformats.org/officeDocument/2006/relationships/hyperlink" Target="consultantplus://offline/ref=A5F19DF9338CEF7D07014667FA4A31F7C50A523216E403809425246E2B113F8B25638C8EA98F79ADD9DC733B9F6F08E5700986E95E6AC689C60AA38BKF4BE" TargetMode = "External"/>
	<Relationship Id="rId124" Type="http://schemas.openxmlformats.org/officeDocument/2006/relationships/hyperlink" Target="consultantplus://offline/ref=A5F19DF9338CEF7D07014667FA4A31F7C50A523216E708819E24246E2B113F8B25638C8EA98F79ADD9DC733B9B6F08E5700986E95E6AC689C60AA38BKF4BE" TargetMode = "External"/>
	<Relationship Id="rId125" Type="http://schemas.openxmlformats.org/officeDocument/2006/relationships/hyperlink" Target="consultantplus://offline/ref=A5F19DF9338CEF7D07014667FA4A31F7C50A523216E708819E24246E2B113F8B25638C8EA98F79ADD9DC733B9A6F08E5700986E95E6AC689C60AA38BKF4BE" TargetMode = "External"/>
	<Relationship Id="rId126" Type="http://schemas.openxmlformats.org/officeDocument/2006/relationships/hyperlink" Target="consultantplus://offline/ref=A5F19DF9338CEF7D07014667FA4A31F7C50A523216E708819E24246E2B113F8B25638C8EA98F79ADD9DC733B996F08E5700986E95E6AC689C60AA38BKF4BE" TargetMode = "External"/>
	<Relationship Id="rId127" Type="http://schemas.openxmlformats.org/officeDocument/2006/relationships/hyperlink" Target="consultantplus://offline/ref=A5F19DF9338CEF7D07014667FA4A31F7C50A523216E708819E24246E2B113F8B25638C8EA98F79ADD9DC733B986F08E5700986E95E6AC689C60AA38BKF4BE" TargetMode = "External"/>
	<Relationship Id="rId128" Type="http://schemas.openxmlformats.org/officeDocument/2006/relationships/hyperlink" Target="consultantplus://offline/ref=A5F19DF9338CEF7D07014667FA4A31F7C50A523216E50E83952D246E2B113F8B25638C8EA98F79ADD9DC73399B6F08E5700986E95E6AC689C60AA38BKF4BE" TargetMode = "External"/>
	<Relationship Id="rId129" Type="http://schemas.openxmlformats.org/officeDocument/2006/relationships/hyperlink" Target="consultantplus://offline/ref=A5F19DF9338CEF7D07014667FA4A31F7C50A523216E603859E2A246E2B113F8B25638C8EA98F79ADD9DC733A986F08E5700986E95E6AC689C60AA38BKF4BE" TargetMode = "External"/>
	<Relationship Id="rId130" Type="http://schemas.openxmlformats.org/officeDocument/2006/relationships/hyperlink" Target="consultantplus://offline/ref=A5F19DF9338CEF7D07014667FA4A31F7C50A523216E703879F28246E2B113F8B25638C8EA98F79ADD9DC733C9A6F08E5700986E95E6AC689C60AA38BKF4BE" TargetMode = "External"/>
	<Relationship Id="rId131" Type="http://schemas.openxmlformats.org/officeDocument/2006/relationships/hyperlink" Target="consultantplus://offline/ref=A5F19DF9338CEF7D07014667FA4A31F7C50A523216E708819E24246E2B113F8B25638C8EA98F79ADD9DC733B9F6F08E5700986E95E6AC689C60AA38BKF4BE" TargetMode = "External"/>
	<Relationship Id="rId132" Type="http://schemas.openxmlformats.org/officeDocument/2006/relationships/hyperlink" Target="consultantplus://offline/ref=A5F19DF9338CEF7D0701586AEC266CFCC905083A1EE700D1C1782239744139DE65238ADBEACE75ADD1D72769DF3151B53C428BEC4876C68FKD4BE" TargetMode = "External"/>
	<Relationship Id="rId133" Type="http://schemas.openxmlformats.org/officeDocument/2006/relationships/hyperlink" Target="consultantplus://offline/ref=A5F19DF9338CEF7D0701586AEC266CFCC905083A1EE700D1C1782239744139DE65238ADBEACF77ACDED72769DF3151B53C428BEC4876C68FKD4BE" TargetMode = "External"/>
	<Relationship Id="rId134" Type="http://schemas.openxmlformats.org/officeDocument/2006/relationships/hyperlink" Target="consultantplus://offline/ref=A5F19DF9338CEF7D07014667FA4A31F7C50A523216E703879F28246E2B113F8B25638C8EA98F79ADD9DC733C996F08E5700986E95E6AC689C60AA38BKF4BE" TargetMode = "External"/>
	<Relationship Id="rId135" Type="http://schemas.openxmlformats.org/officeDocument/2006/relationships/hyperlink" Target="consultantplus://offline/ref=A5F19DF9338CEF7D07014667FA4A31F7C50A523216E403809425246E2B113F8B25638C8EA98F79ADD9DC733B9D6F08E5700986E95E6AC689C60AA38BKF4BE" TargetMode = "External"/>
	<Relationship Id="rId136" Type="http://schemas.openxmlformats.org/officeDocument/2006/relationships/hyperlink" Target="consultantplus://offline/ref=A5F19DF9338CEF7D07014667FA4A31F7C50A523216E10A849B25246E2B113F8B25638C8EA98F79ADD9DC733C9F6F08E5700986E95E6AC689C60AA38BKF4BE" TargetMode = "External"/>
	<Relationship Id="rId137" Type="http://schemas.openxmlformats.org/officeDocument/2006/relationships/hyperlink" Target="consultantplus://offline/ref=A5F19DF9338CEF7D07014667FA4A31F7C50A523216E603859E2A246E2B113F8B25638C8EA98F79ADD9DC733B996F08E5700986E95E6AC689C60AA38BKF4BE" TargetMode = "External"/>
	<Relationship Id="rId138" Type="http://schemas.openxmlformats.org/officeDocument/2006/relationships/hyperlink" Target="consultantplus://offline/ref=A5F19DF9338CEF7D07014667FA4A31F7C50A523216E603859E2A246E2B113F8B25638C8EA98F79ADD9DC733B9F6F08E5700986E95E6AC689C60AA38BKF4BE" TargetMode = "External"/>
	<Relationship Id="rId139" Type="http://schemas.openxmlformats.org/officeDocument/2006/relationships/hyperlink" Target="consultantplus://offline/ref=A5F19DF9338CEF7D07014667FA4A31F7C50A523216E603859E2A246E2B113F8B25638C8EA98F79ADD9DC733B9D6F08E5700986E95E6AC689C60AA38BKF4BE" TargetMode = "External"/>
	<Relationship Id="rId140" Type="http://schemas.openxmlformats.org/officeDocument/2006/relationships/hyperlink" Target="consultantplus://offline/ref=A5F19DF9338CEF7D07014667FA4A31F7C50A523216E70286942E246E2B113F8B25638C8EA98F79ADD9DC73389C6F08E5700986E95E6AC689C60AA38BKF4BE" TargetMode = "External"/>
	<Relationship Id="rId141" Type="http://schemas.openxmlformats.org/officeDocument/2006/relationships/hyperlink" Target="consultantplus://offline/ref=A5F19DF9338CEF7D07014667FA4A31F7C50A523216E603859E2A246E2B113F8B25638C8EA98F79ADD9DC733B9C6F08E5700986E95E6AC689C60AA38BKF4BE" TargetMode = "External"/>
	<Relationship Id="rId142" Type="http://schemas.openxmlformats.org/officeDocument/2006/relationships/hyperlink" Target="consultantplus://offline/ref=A5F19DF9338CEF7D07014667FA4A31F7C50A523216E603859E2A246E2B113F8B25638C8EA98F79ADD9DC733B926F08E5700986E95E6AC689C60AA38BKF4BE" TargetMode = "External"/>
	<Relationship Id="rId143" Type="http://schemas.openxmlformats.org/officeDocument/2006/relationships/hyperlink" Target="consultantplus://offline/ref=A5F19DF9338CEF7D07014667FA4A31F7C50A523216E603859E2A246E2B113F8B25638C8EA98F79ADD9DC733C9B6F08E5700986E95E6AC689C60AA38BKF4BE" TargetMode = "External"/>
	<Relationship Id="rId144" Type="http://schemas.openxmlformats.org/officeDocument/2006/relationships/hyperlink" Target="consultantplus://offline/ref=A5F19DF9338CEF7D07014667FA4A31F7C50A523216E403809425246E2B113F8B25638C8EA98F79ADD9DC733C9B6F08E5700986E95E6AC689C60AA38BKF4BE" TargetMode = "External"/>
	<Relationship Id="rId145" Type="http://schemas.openxmlformats.org/officeDocument/2006/relationships/hyperlink" Target="consultantplus://offline/ref=A5F19DF9338CEF7D07014667FA4A31F7C50A523216E603859E2A246E2B113F8B25638C8EA98F79ADD9DC733C996F08E5700986E95E6AC689C60AA38BKF4BE" TargetMode = "External"/>
	<Relationship Id="rId146" Type="http://schemas.openxmlformats.org/officeDocument/2006/relationships/hyperlink" Target="consultantplus://offline/ref=A5F19DF9338CEF7D07014667FA4A31F7C50A523216E703879F28246E2B113F8B25638C8EA98F79ADD9DC733E996F08E5700986E95E6AC689C60AA38BKF4BE" TargetMode = "External"/>
	<Relationship Id="rId147" Type="http://schemas.openxmlformats.org/officeDocument/2006/relationships/hyperlink" Target="consultantplus://offline/ref=A5F19DF9338CEF7D07014667FA4A31F7C50A523216E703879F28246E2B113F8B25638C8EA98F79ADD9DC733E9F6F08E5700986E95E6AC689C60AA38BKF4BE" TargetMode = "External"/>
	<Relationship Id="rId148" Type="http://schemas.openxmlformats.org/officeDocument/2006/relationships/hyperlink" Target="consultantplus://offline/ref=A5F19DF9338CEF7D07014667FA4A31F7C50A523216E703879F28246E2B113F8B25638C8EA98F79ADD9DC733E936F08E5700986E95E6AC689C60AA38BKF4BE" TargetMode = "External"/>
	<Relationship Id="rId149" Type="http://schemas.openxmlformats.org/officeDocument/2006/relationships/hyperlink" Target="consultantplus://offline/ref=A5F19DF9338CEF7D07014667FA4A31F7C50A523216E703879F28246E2B113F8B25638C8EA98F79ADD9DC733F996F08E5700986E95E6AC689C60AA38BKF4BE" TargetMode = "External"/>
	<Relationship Id="rId150" Type="http://schemas.openxmlformats.org/officeDocument/2006/relationships/hyperlink" Target="consultantplus://offline/ref=A5F19DF9338CEF7D07014667FA4A31F7C50A523216E703879F28246E2B113F8B25638C8EA98F79ADD9DC733F986F08E5700986E95E6AC689C60AA38BKF4BE" TargetMode = "External"/>
	<Relationship Id="rId151" Type="http://schemas.openxmlformats.org/officeDocument/2006/relationships/hyperlink" Target="consultantplus://offline/ref=A5F19DF9338CEF7D07014667FA4A31F7C50A523216E50E83952D246E2B113F8B25638C8EA98F79ADD9DC73399A6F08E5700986E95E6AC689C60AA38BKF4BE" TargetMode = "External"/>
	<Relationship Id="rId152" Type="http://schemas.openxmlformats.org/officeDocument/2006/relationships/hyperlink" Target="consultantplus://offline/ref=A5F19DF9338CEF7D07014667FA4A31F7C50A523216E703879F28246E2B113F8B25638C8EA98F79ADD9DC733F9D6F08E5700986E95E6AC689C60AA38BKF4BE" TargetMode = "External"/>
	<Relationship Id="rId153" Type="http://schemas.openxmlformats.org/officeDocument/2006/relationships/hyperlink" Target="consultantplus://offline/ref=A5F19DF9338CEF7D07014667FA4A31F7C50A523216E708819E24246E2B113F8B25638C8EA98F79ADD9DC733C996F08E5700986E95E6AC689C60AA38BKF4BE" TargetMode = "External"/>
	<Relationship Id="rId154" Type="http://schemas.openxmlformats.org/officeDocument/2006/relationships/hyperlink" Target="consultantplus://offline/ref=A5F19DF9338CEF7D07014667FA4A31F7C50A523216E00F829F28246E2B113F8B25638C8EA98F79ADD9DC73319B6F08E5700986E95E6AC689C60AA38BKF4BE" TargetMode = "External"/>
	<Relationship Id="rId155" Type="http://schemas.openxmlformats.org/officeDocument/2006/relationships/hyperlink" Target="consultantplus://offline/ref=A5F19DF9338CEF7D07014667FA4A31F7C50A523216E708819E24246E2B113F8B25638C8EA98F79ADD9DC733C9D6F08E5700986E95E6AC689C60AA38BKF4BE" TargetMode = "External"/>
	<Relationship Id="rId156" Type="http://schemas.openxmlformats.org/officeDocument/2006/relationships/hyperlink" Target="consultantplus://offline/ref=A5F19DF9338CEF7D07014667FA4A31F7C50A523216E603859E2A246E2B113F8B25638C8EA98F79ADD9DC733C9F6F08E5700986E95E6AC689C60AA38BKF4BE" TargetMode = "External"/>
	<Relationship Id="rId157" Type="http://schemas.openxmlformats.org/officeDocument/2006/relationships/hyperlink" Target="consultantplus://offline/ref=A5F19DF9338CEF7D07014667FA4A31F7C50A523216E403809425246E2B113F8B25638C8EA98F79ADD9DC733C986F08E5700986E95E6AC689C60AA38BKF4BE" TargetMode = "External"/>
	<Relationship Id="rId158" Type="http://schemas.openxmlformats.org/officeDocument/2006/relationships/hyperlink" Target="consultantplus://offline/ref=A5F19DF9338CEF7D07014667FA4A31F7C50A523216E703879F28246E2B113F8B25638C8EA98F79ADD9DC733F936F08E5700986E95E6AC689C60AA38BKF4BE" TargetMode = "External"/>
	<Relationship Id="rId159" Type="http://schemas.openxmlformats.org/officeDocument/2006/relationships/hyperlink" Target="consultantplus://offline/ref=A5F19DF9338CEF7D07014667FA4A31F7C50A523216E603859E2A246E2B113F8B25638C8EA98F79ADD9DC733C9D6F08E5700986E95E6AC689C60AA38BKF4BE" TargetMode = "External"/>
	<Relationship Id="rId160" Type="http://schemas.openxmlformats.org/officeDocument/2006/relationships/hyperlink" Target="consultantplus://offline/ref=A5F19DF9338CEF7D07014667FA4A31F7C50A523216E403809425246E2B113F8B25638C8EA98F79ADD9DC733C9F6F08E5700986E95E6AC689C60AA38BKF4BE" TargetMode = "External"/>
	<Relationship Id="rId161" Type="http://schemas.openxmlformats.org/officeDocument/2006/relationships/hyperlink" Target="consultantplus://offline/ref=A5F19DF9338CEF7D07014667FA4A31F7C50A523216E403809425246E2B113F8B25638C8EA98F79ADD9DC733C9D6F08E5700986E95E6AC689C60AA38BKF4BE" TargetMode = "External"/>
	<Relationship Id="rId162" Type="http://schemas.openxmlformats.org/officeDocument/2006/relationships/hyperlink" Target="consultantplus://offline/ref=A5F19DF9338CEF7D07014667FA4A31F7C50A523216E708819E24246E2B113F8B25638C8EA98F79ADD9DC733C9D6F08E5700986E95E6AC689C60AA38BKF4BE" TargetMode = "External"/>
	<Relationship Id="rId163" Type="http://schemas.openxmlformats.org/officeDocument/2006/relationships/hyperlink" Target="consultantplus://offline/ref=A5F19DF9338CEF7D07014667FA4A31F7C50A523216E603859E2A246E2B113F8B25638C8EA98F79ADD9DC733C9C6F08E5700986E95E6AC689C60AA38BKF4BE" TargetMode = "External"/>
	<Relationship Id="rId164" Type="http://schemas.openxmlformats.org/officeDocument/2006/relationships/hyperlink" Target="consultantplus://offline/ref=A5F19DF9338CEF7D07014667FA4A31F7C50A523216E708819E24246E2B113F8B25638C8EA98F79ADD9DC733C9D6F08E5700986E95E6AC689C60AA38BKF4BE" TargetMode = "External"/>
	<Relationship Id="rId165" Type="http://schemas.openxmlformats.org/officeDocument/2006/relationships/hyperlink" Target="consultantplus://offline/ref=A5F19DF9338CEF7D07014667FA4A31F7C50A523216E603859E2A246E2B113F8B25638C8EA98F79ADD9DC733C936F08E5700986E95E6AC689C60AA38BKF4BE" TargetMode = "External"/>
	<Relationship Id="rId166" Type="http://schemas.openxmlformats.org/officeDocument/2006/relationships/hyperlink" Target="consultantplus://offline/ref=A5F19DF9338CEF7D07014667FA4A31F7C50A523216E703879F28246E2B113F8B25638C8EA98F79ADD9DC73309E6F08E5700986E95E6AC689C60AA38BKF4BE" TargetMode = "External"/>
	<Relationship Id="rId167" Type="http://schemas.openxmlformats.org/officeDocument/2006/relationships/hyperlink" Target="consultantplus://offline/ref=A5F19DF9338CEF7D07014667FA4A31F7C50A523216E403809425246E2B113F8B25638C8EA98F79ADD9DC733D9B6F08E5700986E95E6AC689C60AA38BKF4BE" TargetMode = "External"/>
	<Relationship Id="rId168" Type="http://schemas.openxmlformats.org/officeDocument/2006/relationships/hyperlink" Target="consultantplus://offline/ref=A5F19DF9338CEF7D07014667FA4A31F7C50A523216E403809425246E2B113F8B25638C8EA98F79ADD9DC733D9F6F08E5700986E95E6AC689C60AA38BKF4BE" TargetMode = "External"/>
	<Relationship Id="rId169" Type="http://schemas.openxmlformats.org/officeDocument/2006/relationships/hyperlink" Target="consultantplus://offline/ref=A5F19DF9338CEF7D07014667FA4A31F7C50A523216E403809425246E2B113F8B25638C8EA98F79ADD9DC733D9E6F08E5700986E95E6AC689C60AA38BKF4BE" TargetMode = "External"/>
	<Relationship Id="rId170" Type="http://schemas.openxmlformats.org/officeDocument/2006/relationships/hyperlink" Target="consultantplus://offline/ref=A5F19DF9338CEF7D07014667FA4A31F7C50A523216E00F829F28246E2B113F8B25638C8EA98F79ADD9DC73319C6F08E5700986E95E6AC689C60AA38BKF4BE" TargetMode = "External"/>
	<Relationship Id="rId171" Type="http://schemas.openxmlformats.org/officeDocument/2006/relationships/hyperlink" Target="consultantplus://offline/ref=A5F19DF9338CEF7D07014667FA4A31F7C50A523216E00F829F28246E2B113F8B25638C8EA98F79ADD9DC7331926F08E5700986E95E6AC689C60AA38BKF4BE" TargetMode = "External"/>
	<Relationship Id="rId172" Type="http://schemas.openxmlformats.org/officeDocument/2006/relationships/hyperlink" Target="consultantplus://offline/ref=A5F19DF9338CEF7D07014667FA4A31F7C50A523216E403809425246E2B113F8B25638C8EA98F79ADD9DC733D9C6F08E5700986E95E6AC689C60AA38BKF4BE" TargetMode = "External"/>
	<Relationship Id="rId173" Type="http://schemas.openxmlformats.org/officeDocument/2006/relationships/hyperlink" Target="consultantplus://offline/ref=A5F19DF9338CEF7D07014667FA4A31F7C50A523216E603859E2A246E2B113F8B25638C8EA98F79ADD9DC733D9F6F08E5700986E95E6AC689C60AA38BKF4BE" TargetMode = "External"/>
	<Relationship Id="rId174" Type="http://schemas.openxmlformats.org/officeDocument/2006/relationships/hyperlink" Target="consultantplus://offline/ref=A5F19DF9338CEF7D07014667FA4A31F7C50A523216E703879F28246E2B113F8B25638C8EA98F79ADD9DC73319A6F08E5700986E95E6AC689C60AA38BKF4BE" TargetMode = "External"/>
	<Relationship Id="rId175" Type="http://schemas.openxmlformats.org/officeDocument/2006/relationships/hyperlink" Target="consultantplus://offline/ref=A5F19DF9338CEF7D07014667FA4A31F7C50A523216E708819E24246E2B113F8B25638C8EA98F79ADD9DC733D9F6F08E5700986E95E6AC689C60AA38BKF4BE" TargetMode = "External"/>
	<Relationship Id="rId176" Type="http://schemas.openxmlformats.org/officeDocument/2006/relationships/hyperlink" Target="consultantplus://offline/ref=A5F19DF9338CEF7D07014667FA4A31F7C50A523216E708819E24246E2B113F8B25638C8EA98F79ADD9DC733D9E6F08E5700986E95E6AC689C60AA38BKF4BE" TargetMode = "External"/>
	<Relationship Id="rId177" Type="http://schemas.openxmlformats.org/officeDocument/2006/relationships/hyperlink" Target="consultantplus://offline/ref=A5F19DF9338CEF7D07014667FA4A31F7C50A523216E703879F28246E2B113F8B25638C8EA98F79ADD9DC73319D6F08E5700986E95E6AC689C60AA38BKF4BE" TargetMode = "External"/>
	<Relationship Id="rId178" Type="http://schemas.openxmlformats.org/officeDocument/2006/relationships/hyperlink" Target="consultantplus://offline/ref=A5F19DF9338CEF7D07014667FA4A31F7C50A523216E403809425246E2B113F8B25638C8EA98F79ADD9DC733D936F08E5700986E95E6AC689C60AA38BKF4BE" TargetMode = "External"/>
	<Relationship Id="rId179" Type="http://schemas.openxmlformats.org/officeDocument/2006/relationships/hyperlink" Target="consultantplus://offline/ref=A5F19DF9338CEF7D07014667FA4A31F7C50A523216E708819E24246E2B113F8B25638C8EA98F79ADD9DC733D9D6F08E5700986E95E6AC689C60AA38BKF4BE" TargetMode = "External"/>
	<Relationship Id="rId180" Type="http://schemas.openxmlformats.org/officeDocument/2006/relationships/hyperlink" Target="consultantplus://offline/ref=A5F19DF9338CEF7D07014667FA4A31F7C50A523216E703879F28246E2B113F8B25638C8EA98F79ADD9DC7331926F08E5700986E95E6AC689C60AA38BKF4BE" TargetMode = "External"/>
	<Relationship Id="rId181" Type="http://schemas.openxmlformats.org/officeDocument/2006/relationships/hyperlink" Target="consultantplus://offline/ref=A5F19DF9338CEF7D07014667FA4A31F7C50A523216E403809425246E2B113F8B25638C8EA98F79ADD9DC733E9B6F08E5700986E95E6AC689C60AA38BKF4BE" TargetMode = "External"/>
	<Relationship Id="rId182" Type="http://schemas.openxmlformats.org/officeDocument/2006/relationships/hyperlink" Target="consultantplus://offline/ref=A5F19DF9338CEF7D07014667FA4A31F7C50A523216E403809425246E2B113F8B25638C8EA98F79ADD9DC733E9A6F08E5700986E95E6AC689C60AA38BKF4BE" TargetMode = "External"/>
	<Relationship Id="rId183" Type="http://schemas.openxmlformats.org/officeDocument/2006/relationships/hyperlink" Target="consultantplus://offline/ref=A5F19DF9338CEF7D07014667FA4A31F7C50A523216E603859E2A246E2B113F8B25638C8EA98F79ADD9DC733D9E6F08E5700986E95E6AC689C60AA38BKF4BE" TargetMode = "External"/>
	<Relationship Id="rId184" Type="http://schemas.openxmlformats.org/officeDocument/2006/relationships/hyperlink" Target="consultantplus://offline/ref=A5F19DF9338CEF7D07014667FA4A31F7C50A523216E708819E24246E2B113F8B25638C8EA98F79ADD9DC733D936F08E5700986E95E6AC689C60AA38BKF4BE" TargetMode = "External"/>
	<Relationship Id="rId185" Type="http://schemas.openxmlformats.org/officeDocument/2006/relationships/hyperlink" Target="consultantplus://offline/ref=A5F19DF9338CEF7D07014667FA4A31F7C50A523216E703879F28246E2B113F8B25638C8EA98F79ADD9DC72389B6F08E5700986E95E6AC689C60AA38BKF4BE" TargetMode = "External"/>
	<Relationship Id="rId186" Type="http://schemas.openxmlformats.org/officeDocument/2006/relationships/hyperlink" Target="consultantplus://offline/ref=A5F19DF9338CEF7D07014667FA4A31F7C50A523216E603859E2A246E2B113F8B25638C8EA98F79ADD9DC733E996F08E5700986E95E6AC689C60AA38BKF4BE" TargetMode = "External"/>
	<Relationship Id="rId187" Type="http://schemas.openxmlformats.org/officeDocument/2006/relationships/hyperlink" Target="consultantplus://offline/ref=A5F19DF9338CEF7D07014667FA4A31F7C50A523216E603859E2A246E2B113F8B25638C8EA98F79ADD9DC733E926F08E5700986E95E6AC689C60AA38BKF4BE" TargetMode = "External"/>
	<Relationship Id="rId188" Type="http://schemas.openxmlformats.org/officeDocument/2006/relationships/hyperlink" Target="consultantplus://offline/ref=A5F19DF9338CEF7D07014667FA4A31F7C50A523216E00F829F28246E2B113F8B25638C8EA98F79ADD9DC7238986F08E5700986E95E6AC689C60AA38BKF4BE" TargetMode = "External"/>
	<Relationship Id="rId189" Type="http://schemas.openxmlformats.org/officeDocument/2006/relationships/hyperlink" Target="consultantplus://offline/ref=A5F19DF9338CEF7D07014667FA4A31F7C50A523216E603859E2A246E2B113F8B25638C8EA98F79ADD9DC733F9B6F08E5700986E95E6AC689C60AA38BKF4BE" TargetMode = "External"/>
	<Relationship Id="rId190" Type="http://schemas.openxmlformats.org/officeDocument/2006/relationships/hyperlink" Target="consultantplus://offline/ref=A5F19DF9338CEF7D07014667FA4A31F7C50A523216E603859E2A246E2B113F8B25638C8EA98F79ADD9DC733F986F08E5700986E95E6AC689C60AA38BKF4BE" TargetMode = "External"/>
	<Relationship Id="rId191" Type="http://schemas.openxmlformats.org/officeDocument/2006/relationships/hyperlink" Target="consultantplus://offline/ref=A5F19DF9338CEF7D07014667FA4A31F7C50A523216E403809425246E2B113F8B25638C8EA98F79ADD9DC733E996F08E5700986E95E6AC689C60AA38BKF4BE" TargetMode = "External"/>
	<Relationship Id="rId192" Type="http://schemas.openxmlformats.org/officeDocument/2006/relationships/hyperlink" Target="consultantplus://offline/ref=A5F19DF9338CEF7D07014667FA4A31F7C50A523216E603859E2A246E2B113F8B25638C8EA98F79ADD9DC733F9F6F08E5700986E95E6AC689C60AA38BKF4BE" TargetMode = "External"/>
	<Relationship Id="rId193" Type="http://schemas.openxmlformats.org/officeDocument/2006/relationships/hyperlink" Target="consultantplus://offline/ref=A5F19DF9338CEF7D07014667FA4A31F7C50A523216E403809425246E2B113F8B25638C8EA98F79ADD9DC733E986F08E5700986E95E6AC689C60AA38BKF4BE" TargetMode = "External"/>
	<Relationship Id="rId194" Type="http://schemas.openxmlformats.org/officeDocument/2006/relationships/hyperlink" Target="consultantplus://offline/ref=A5F19DF9338CEF7D07014667FA4A31F7C50A523216E708819E24246E2B113F8B25638C8EA98F79ADD9DC733D926F08E5700986E95E6AC689C60AA38BKF4BE" TargetMode = "External"/>
	<Relationship Id="rId195" Type="http://schemas.openxmlformats.org/officeDocument/2006/relationships/hyperlink" Target="consultantplus://offline/ref=A5F19DF9338CEF7D07014667FA4A31F7C50A523216E703879F28246E2B113F8B25638C8EA98F79ADD9DC72399F6F08E5700986E95E6AC689C60AA38BKF4BE" TargetMode = "External"/>
	<Relationship Id="rId196" Type="http://schemas.openxmlformats.org/officeDocument/2006/relationships/hyperlink" Target="consultantplus://offline/ref=A5F19DF9338CEF7D07014667FA4A31F7C50A523216E403809425246E2B113F8B25638C8EA98F79ADD9DC733E9E6F08E5700986E95E6AC689C60AA38BKF4BE" TargetMode = "External"/>
	<Relationship Id="rId197" Type="http://schemas.openxmlformats.org/officeDocument/2006/relationships/hyperlink" Target="consultantplus://offline/ref=A5F19DF9338CEF7D07014667FA4A31F7C50A523216E403809425246E2B113F8B25638C8EA98F79ADD9DC733E9D6F08E5700986E95E6AC689C60AA38BKF4BE" TargetMode = "External"/>
	<Relationship Id="rId198" Type="http://schemas.openxmlformats.org/officeDocument/2006/relationships/hyperlink" Target="consultantplus://offline/ref=A5F19DF9338CEF7D07014667FA4A31F7C50A523216E403809425246E2B113F8B25638C8EA98F79ADD9DC733F996F08E5700986E95E6AC689C60AA38BKF4BE" TargetMode = "External"/>
	<Relationship Id="rId199" Type="http://schemas.openxmlformats.org/officeDocument/2006/relationships/hyperlink" Target="consultantplus://offline/ref=A5F19DF9338CEF7D07014667FA4A31F7C50A523216E603859E2A246E2B113F8B25638C8EA98F79ADD9DC73309A6F08E5700986E95E6AC689C60AA38BKF4BE" TargetMode = "External"/>
	<Relationship Id="rId200" Type="http://schemas.openxmlformats.org/officeDocument/2006/relationships/hyperlink" Target="consultantplus://offline/ref=A5F19DF9338CEF7D07014667FA4A31F7C50A523216E403809425246E2B113F8B25638C8EA98F79ADD9DC733F986F08E5700986E95E6AC689C60AA38BKF4BE" TargetMode = "External"/>
	<Relationship Id="rId201" Type="http://schemas.openxmlformats.org/officeDocument/2006/relationships/hyperlink" Target="consultantplus://offline/ref=A5F19DF9338CEF7D07014667FA4A31F7C50A523216E403809425246E2B113F8B25638C8EA98F79ADD9DC733F9E6F08E5700986E95E6AC689C60AA38BKF4BE" TargetMode = "External"/>
	<Relationship Id="rId202" Type="http://schemas.openxmlformats.org/officeDocument/2006/relationships/hyperlink" Target="consultantplus://offline/ref=A5F19DF9338CEF7D07014667FA4A31F7C50A523216E603859E2A246E2B113F8B25638C8EA98F79ADD9DC73309F6F08E5700986E95E6AC689C60AA38BKF4BE" TargetMode = "External"/>
	<Relationship Id="rId203" Type="http://schemas.openxmlformats.org/officeDocument/2006/relationships/hyperlink" Target="consultantplus://offline/ref=A5F19DF9338CEF7D07014667FA4A31F7C50A523216E603859E2A246E2B113F8B25638C8EA98F79ADD9DC7330936F08E5700986E95E6AC689C60AA38BKF4BE" TargetMode = "External"/>
	<Relationship Id="rId204" Type="http://schemas.openxmlformats.org/officeDocument/2006/relationships/hyperlink" Target="consultantplus://offline/ref=A5F19DF9338CEF7D07014667FA4A31F7C50A523216E708819E24246E2B113F8B25638C8EA98F79ADD9DC733E926F08E5700986E95E6AC689C60AA38BKF4BE" TargetMode = "External"/>
	<Relationship Id="rId205" Type="http://schemas.openxmlformats.org/officeDocument/2006/relationships/hyperlink" Target="consultantplus://offline/ref=A5F19DF9338CEF7D07014667FA4A31F7C50A523216E00F829F28246E2B113F8B25638C8EA98F79ADD9DC72399E6F08E5700986E95E6AC689C60AA38BKF4BE" TargetMode = "External"/>
	<Relationship Id="rId206" Type="http://schemas.openxmlformats.org/officeDocument/2006/relationships/hyperlink" Target="consultantplus://offline/ref=A5F19DF9338CEF7D0701586AEC266CFCC9010E3D1FE100D1C1782239744139DE65238AD9EDCB70A78D8D376D966554AA345895EA5676KC45E" TargetMode = "External"/>
	<Relationship Id="rId207" Type="http://schemas.openxmlformats.org/officeDocument/2006/relationships/hyperlink" Target="consultantplus://offline/ref=A5F19DF9338CEF7D0701586AEC266CFCC9010E3D1FE100D1C1782239744139DE65238AD9EDC976A78D8D376D966554AA345895EA5676KC45E" TargetMode = "External"/>
	<Relationship Id="rId208" Type="http://schemas.openxmlformats.org/officeDocument/2006/relationships/hyperlink" Target="consultantplus://offline/ref=A5F19DF9338CEF7D07014667FA4A31F7C50A523216E50E83952D246E2B113F8B25638C8EA98F79ADD9DC7339996F08E5700986E95E6AC689C60AA38BKF4BE" TargetMode = "External"/>
	<Relationship Id="rId209" Type="http://schemas.openxmlformats.org/officeDocument/2006/relationships/hyperlink" Target="consultantplus://offline/ref=A5F19DF9338CEF7D07014667FA4A31F7C50A523216E403809425246E2B113F8B25638C8EA98F79ADD9DC733F9C6F08E5700986E95E6AC689C60AA38BKF4BE" TargetMode = "External"/>
	<Relationship Id="rId210" Type="http://schemas.openxmlformats.org/officeDocument/2006/relationships/hyperlink" Target="consultantplus://offline/ref=A5F19DF9338CEF7D07014667FA4A31F7C50A523216E00F829F28246E2B113F8B25638C8EA98F79ADD9DC72399C6F08E5700986E95E6AC689C60AA38BKF4BE" TargetMode = "External"/>
	<Relationship Id="rId211" Type="http://schemas.openxmlformats.org/officeDocument/2006/relationships/hyperlink" Target="consultantplus://offline/ref=A5F19DF9338CEF7D07014667FA4A31F7C50A523216E703879F28246E2B113F8B25638C8EA98F79ADD9DC7239936F08E5700986E95E6AC689C60AA38BKF4BE" TargetMode = "External"/>
	<Relationship Id="rId212" Type="http://schemas.openxmlformats.org/officeDocument/2006/relationships/hyperlink" Target="consultantplus://offline/ref=A5F19DF9338CEF7D07014667FA4A31F7C50A523216E703879F28246E2B113F8B25638C8EA98F79ADD9DC723A9B6F08E5700986E95E6AC689C60AA38BKF4BE" TargetMode = "External"/>
	<Relationship Id="rId213" Type="http://schemas.openxmlformats.org/officeDocument/2006/relationships/hyperlink" Target="consultantplus://offline/ref=A5F19DF9338CEF7D07014667FA4A31F7C50A523216E703879F28246E2B113F8B25638C8EA98F79ADD9DC723A9A6F08E5700986E95E6AC689C60AA38BKF4BE" TargetMode = "External"/>
	<Relationship Id="rId214" Type="http://schemas.openxmlformats.org/officeDocument/2006/relationships/hyperlink" Target="consultantplus://offline/ref=A5F19DF9338CEF7D07014667FA4A31F7C50A523216E703879F28246E2B113F8B25638C8EA98F79ADD9DC723A996F08E5700986E95E6AC689C60AA38BKF4BE" TargetMode = "External"/>
	<Relationship Id="rId215" Type="http://schemas.openxmlformats.org/officeDocument/2006/relationships/hyperlink" Target="consultantplus://offline/ref=A5F19DF9338CEF7D07014667FA4A31F7C50A523216E603859E2A246E2B113F8B25638C8EA98F79ADD9DC7331986F08E5700986E95E6AC689C60AA38BKF4BE" TargetMode = "External"/>
	<Relationship Id="rId216" Type="http://schemas.openxmlformats.org/officeDocument/2006/relationships/hyperlink" Target="consultantplus://offline/ref=A5F19DF9338CEF7D07014667FA4A31F7C50A523216E603859E2A246E2B113F8B25638C8EA98F79ADD9DC73319F6F08E5700986E95E6AC689C60AA38BKF4BE" TargetMode = "External"/>
	<Relationship Id="rId217" Type="http://schemas.openxmlformats.org/officeDocument/2006/relationships/hyperlink" Target="consultantplus://offline/ref=A5F19DF9338CEF7D07014667FA4A31F7C50A523216E708819E24246E2B113F8B25638C8EA98F79ADD9DC733F9A6F08E5700986E95E6AC689C60AA38BKF4BE" TargetMode = "External"/>
	<Relationship Id="rId218" Type="http://schemas.openxmlformats.org/officeDocument/2006/relationships/hyperlink" Target="consultantplus://offline/ref=A5F19DF9338CEF7D07014667FA4A31F7C50A523216E603859E2A246E2B113F8B25638C8EA98F79ADD9DC73319E6F08E5700986E95E6AC689C60AA38BKF4BE" TargetMode = "External"/>
	<Relationship Id="rId219" Type="http://schemas.openxmlformats.org/officeDocument/2006/relationships/hyperlink" Target="consultantplus://offline/ref=A5F19DF9338CEF7D0701586AEC266CFCC9010E3D1FE100D1C1782239744139DE65238AD9EDCB70A78D8D376D966554AA345895EA5676KC45E" TargetMode = "External"/>
	<Relationship Id="rId220" Type="http://schemas.openxmlformats.org/officeDocument/2006/relationships/hyperlink" Target="consultantplus://offline/ref=A5F19DF9338CEF7D0701586AEC266CFCC9010E3D1FE100D1C1782239744139DE65238AD9EDC976A78D8D376D966554AA345895EA5676KC45E" TargetMode = "External"/>
	<Relationship Id="rId221" Type="http://schemas.openxmlformats.org/officeDocument/2006/relationships/hyperlink" Target="consultantplus://offline/ref=A5F19DF9338CEF7D07014667FA4A31F7C50A523216E50E83952D246E2B113F8B25638C8EA98F79ADD9DC73399F6F08E5700986E95E6AC689C60AA38BKF4BE" TargetMode = "External"/>
	<Relationship Id="rId222" Type="http://schemas.openxmlformats.org/officeDocument/2006/relationships/hyperlink" Target="consultantplus://offline/ref=A5F19DF9338CEF7D07014667FA4A31F7C50A523216E00F829F28246E2B113F8B25638C8EA98F79ADD9DC7239936F08E5700986E95E6AC689C60AA38BKF4BE" TargetMode = "External"/>
	<Relationship Id="rId223" Type="http://schemas.openxmlformats.org/officeDocument/2006/relationships/hyperlink" Target="consultantplus://offline/ref=A5F19DF9338CEF7D07014667FA4A31F7C50A523216E403809425246E2B113F8B25638C8EA98F79ADD9DC733F926F08E5700986E95E6AC689C60AA38BKF4BE" TargetMode = "External"/>
	<Relationship Id="rId224" Type="http://schemas.openxmlformats.org/officeDocument/2006/relationships/hyperlink" Target="consultantplus://offline/ref=A5F19DF9338CEF7D07014667FA4A31F7C50A523216E00F829F28246E2B113F8B25638C8EA98F79ADD9DC7239926F08E5700986E95E6AC689C60AA38BKF4BE" TargetMode = "External"/>
	<Relationship Id="rId225" Type="http://schemas.openxmlformats.org/officeDocument/2006/relationships/hyperlink" Target="consultantplus://offline/ref=A5F19DF9338CEF7D07014667FA4A31F7C50A523216E403809425246E2B113F8B25638C8EA98F79ADD9DC73309B6F08E5700986E95E6AC689C60AA38BKF4BE" TargetMode = "External"/>
	<Relationship Id="rId226" Type="http://schemas.openxmlformats.org/officeDocument/2006/relationships/hyperlink" Target="consultantplus://offline/ref=A5F19DF9338CEF7D07014667FA4A31F7C50A523216E10A849B25246E2B113F8B25638C8EA98F79ADD9DC7238926F08E5700986E95E6AC689C60AA38BKF4BE" TargetMode = "External"/>
	<Relationship Id="rId227" Type="http://schemas.openxmlformats.org/officeDocument/2006/relationships/hyperlink" Target="consultantplus://offline/ref=A5F19DF9338CEF7D07014667FA4A31F7C50A523216E708819E24246E2B113F8B25638C8EA98F79ADD9DC733F9C6F08E5700986E95E6AC689C60AA38BKF4BE" TargetMode = "External"/>
	<Relationship Id="rId228" Type="http://schemas.openxmlformats.org/officeDocument/2006/relationships/hyperlink" Target="consultantplus://offline/ref=A5F19DF9338CEF7D07014667FA4A31F7C50A523216E50E83952D246E2B113F8B25638C8EA98F79ADD9DC73399C6F08E5700986E95E6AC689C60AA38BKF4BE" TargetMode = "External"/>
	<Relationship Id="rId229" Type="http://schemas.openxmlformats.org/officeDocument/2006/relationships/hyperlink" Target="consultantplus://offline/ref=A5F19DF9338CEF7D07014667FA4A31F7C50A523216E708819E24246E2B113F8B25638C8EA98F79ADD9DC733F936F08E5700986E95E6AC689C60AA38BKF4BE" TargetMode = "External"/>
	<Relationship Id="rId230" Type="http://schemas.openxmlformats.org/officeDocument/2006/relationships/hyperlink" Target="consultantplus://offline/ref=A5F19DF9338CEF7D07014667FA4A31F7C50A523216E708819E24246E2B113F8B25638C8EA98F79ADD9DC733F926F08E5700986E95E6AC689C60AA38BKF4BE" TargetMode = "External"/>
	<Relationship Id="rId231" Type="http://schemas.openxmlformats.org/officeDocument/2006/relationships/hyperlink" Target="consultantplus://offline/ref=A5F19DF9338CEF7D07014667FA4A31F7C50A523216E703879F28246E2B113F8B25638C8EA98F79ADD9DC723A986F08E5700986E95E6AC689C60AA38BKF4BE" TargetMode = "External"/>
	<Relationship Id="rId232" Type="http://schemas.openxmlformats.org/officeDocument/2006/relationships/hyperlink" Target="consultantplus://offline/ref=A5F19DF9338CEF7D07014667FA4A31F7C50A523216E708819E24246E2B113F8B25638C8EA98F79ADD9DC73309B6F08E5700986E95E6AC689C60AA38BKF4BE" TargetMode = "External"/>
	<Relationship Id="rId233" Type="http://schemas.openxmlformats.org/officeDocument/2006/relationships/hyperlink" Target="consultantplus://offline/ref=A5F19DF9338CEF7D07014667FA4A31F7C50A523216E603859E2A246E2B113F8B25638C8EA98F79ADD9DC73319D6F08E5700986E95E6AC689C60AA38BKF4BE" TargetMode = "External"/>
	<Relationship Id="rId234" Type="http://schemas.openxmlformats.org/officeDocument/2006/relationships/hyperlink" Target="consultantplus://offline/ref=A5F19DF9338CEF7D07014667FA4A31F7C50A523216E708819E24246E2B113F8B25638C8EA98F79ADD9DC7330996F08E5700986E95E6AC689C60AA38BKF4BE" TargetMode = "External"/>
	<Relationship Id="rId235" Type="http://schemas.openxmlformats.org/officeDocument/2006/relationships/hyperlink" Target="consultantplus://offline/ref=A5F19DF9338CEF7D07014667FA4A31F7C50A523216E00F829F28246E2B113F8B25638C8EA98F79ADD9DC723A9B6F08E5700986E95E6AC689C60AA38BKF4BE" TargetMode = "External"/>
	<Relationship Id="rId236" Type="http://schemas.openxmlformats.org/officeDocument/2006/relationships/hyperlink" Target="consultantplus://offline/ref=A5F19DF9338CEF7D07014667FA4A31F7C50A523216E00F829F28246E2B113F8B25638C8EA98F79ADD9DC723A986F08E5700986E95E6AC689C60AA38BKF4BE" TargetMode = "External"/>
	<Relationship Id="rId237" Type="http://schemas.openxmlformats.org/officeDocument/2006/relationships/hyperlink" Target="consultantplus://offline/ref=A5F19DF9338CEF7D07014667FA4A31F7C50A523216E00F829F28246E2B113F8B25638C8EA98F79ADD9DC723A9E6F08E5700986E95E6AC689C60AA38BKF4BE" TargetMode = "External"/>
	<Relationship Id="rId238" Type="http://schemas.openxmlformats.org/officeDocument/2006/relationships/hyperlink" Target="consultantplus://offline/ref=A5F19DF9338CEF7D07014667FA4A31F7C50A523216E403809425246E2B113F8B25638C8EA98F79ADD9DC73309A6F08E5700986E95E6AC689C60AA38BKF4BE" TargetMode = "External"/>
	<Relationship Id="rId239" Type="http://schemas.openxmlformats.org/officeDocument/2006/relationships/hyperlink" Target="consultantplus://offline/ref=A5F19DF9338CEF7D07014667FA4A31F7C50A523216E403809425246E2B113F8B25638C8EA98F79ADD9DC7330996F08E5700986E95E6AC689C60AA38BKF4BE" TargetMode = "External"/>
	<Relationship Id="rId240" Type="http://schemas.openxmlformats.org/officeDocument/2006/relationships/hyperlink" Target="consultantplus://offline/ref=A5F19DF9338CEF7D07014667FA4A31F7C50A523216E00F829F28246E2B113F8B25638C8EA98F79ADD9DC723A9C6F08E5700986E95E6AC689C60AA38BKF4BE" TargetMode = "External"/>
	<Relationship Id="rId241" Type="http://schemas.openxmlformats.org/officeDocument/2006/relationships/hyperlink" Target="consultantplus://offline/ref=A5F19DF9338CEF7D07014667FA4A31F7C50A523216E708819E24246E2B113F8B25638C8EA98F79ADD9DC73309F6F08E5700986E95E6AC689C60AA38BKF4BE" TargetMode = "External"/>
	<Relationship Id="rId242" Type="http://schemas.openxmlformats.org/officeDocument/2006/relationships/hyperlink" Target="consultantplus://offline/ref=A5F19DF9338CEF7D07014667FA4A31F7C50A523216E403809425246E2B113F8B25638C8EA98F79ADD9DC7330986F08E5700986E95E6AC689C60AA38BKF4BE" TargetMode = "External"/>
	<Relationship Id="rId243" Type="http://schemas.openxmlformats.org/officeDocument/2006/relationships/image" Target="media/image2.wmf"/>
	<Relationship Id="rId244" Type="http://schemas.openxmlformats.org/officeDocument/2006/relationships/image" Target="media/image3.wmf"/>
	<Relationship Id="rId245" Type="http://schemas.openxmlformats.org/officeDocument/2006/relationships/hyperlink" Target="consultantplus://offline/ref=A5F19DF9338CEF7D07014667FA4A31F7C50A523216E708819E24246E2B113F8B25638C8EA98F79ADD9DC73309F6F08E5700986E95E6AC689C60AA38BKF4BE" TargetMode = "External"/>
	<Relationship Id="rId246" Type="http://schemas.openxmlformats.org/officeDocument/2006/relationships/image" Target="media/image4.wmf"/>
	<Relationship Id="rId247" Type="http://schemas.openxmlformats.org/officeDocument/2006/relationships/hyperlink" Target="consultantplus://offline/ref=A5F19DF9338CEF7D07014667FA4A31F7C50A523216E708819E24246E2B113F8B25638C8EA98F79ADD9DC73309F6F08E5700986E95E6AC689C60AA38BKF4BE" TargetMode = "External"/>
	<Relationship Id="rId248" Type="http://schemas.openxmlformats.org/officeDocument/2006/relationships/hyperlink" Target="consultantplus://offline/ref=A5F19DF9338CEF7D07014667FA4A31F7C50A523216E00F829F28246E2B113F8B25638C8EA98F79ADD9DC723B9F6F08E5700986E95E6AC689C60AA38BKF4BE" TargetMode = "External"/>
	<Relationship Id="rId249" Type="http://schemas.openxmlformats.org/officeDocument/2006/relationships/hyperlink" Target="consultantplus://offline/ref=A5F19DF9338CEF7D07014667FA4A31F7C50A523216E00F829F28246E2B113F8B25638C8EA98F79ADD9DC723C9B6F08E5700986E95E6AC689C60AA38BKF4BE" TargetMode = "External"/>
	<Relationship Id="rId250" Type="http://schemas.openxmlformats.org/officeDocument/2006/relationships/hyperlink" Target="consultantplus://offline/ref=A5F19DF9338CEF7D07014667FA4A31F7C50A523216E603859E2A246E2B113F8B25638C8EA98F79ADD9DC73319C6F08E5700986E95E6AC689C60AA38BKF4BE" TargetMode = "External"/>
	<Relationship Id="rId251" Type="http://schemas.openxmlformats.org/officeDocument/2006/relationships/hyperlink" Target="consultantplus://offline/ref=A5F19DF9338CEF7D07014667FA4A31F7C50A523216E708819E24246E2B113F8B25638C8EA98F79ADD9DC73309E6F08E5700986E95E6AC689C60AA38BKF4BE" TargetMode = "External"/>
	<Relationship Id="rId252" Type="http://schemas.openxmlformats.org/officeDocument/2006/relationships/hyperlink" Target="consultantplus://offline/ref=A5F19DF9338CEF7D07014667FA4A31F7C50A523216E708819E24246E2B113F8B25638C8EA98F79ADD9DC73319C6F08E5700986E95E6AC689C60AA38BKF4BE" TargetMode = "External"/>
	<Relationship Id="rId253" Type="http://schemas.openxmlformats.org/officeDocument/2006/relationships/hyperlink" Target="consultantplus://offline/ref=A5F19DF9338CEF7D07014667FA4A31F7C50A523216E403809425246E2B113F8B25638C8EA98F79ADD9DC73309F6F08E5700986E95E6AC689C60AA38BKF4BE" TargetMode = "External"/>
	<Relationship Id="rId254" Type="http://schemas.openxmlformats.org/officeDocument/2006/relationships/hyperlink" Target="consultantplus://offline/ref=A5F19DF9338CEF7D07014667FA4A31F7C50A523216E403809425246E2B113F8B25638C8EA98F79ADD9DC73309D6F08E5700986E95E6AC689C60AA38BKF4BE" TargetMode = "External"/>
	<Relationship Id="rId255" Type="http://schemas.openxmlformats.org/officeDocument/2006/relationships/hyperlink" Target="consultantplus://offline/ref=A5F19DF9338CEF7D07014667FA4A31F7C50A523216E00F829F28246E2B113F8B25638C8EA98F79ADD9DC723C9C6F08E5700986E95E6AC689C60AA38BKF4BE" TargetMode = "External"/>
	<Relationship Id="rId256" Type="http://schemas.openxmlformats.org/officeDocument/2006/relationships/hyperlink" Target="consultantplus://offline/ref=A5F19DF9338CEF7D07014667FA4A31F7C50A523216E708819E24246E2B113F8B25638C8EA98F79ADD9DC7331936F08E5700986E95E6AC689C60AA38BKF4BE" TargetMode = "External"/>
	<Relationship Id="rId257" Type="http://schemas.openxmlformats.org/officeDocument/2006/relationships/hyperlink" Target="consultantplus://offline/ref=A5F19DF9338CEF7D07014667FA4A31F7C50A523216E703879F28246E2B113F8B25638C8EA98F79ADD9DC723A9E6F08E5700986E95E6AC689C60AA38BKF4BE" TargetMode = "External"/>
	<Relationship Id="rId258" Type="http://schemas.openxmlformats.org/officeDocument/2006/relationships/hyperlink" Target="consultantplus://offline/ref=A5F19DF9338CEF7D07014667FA4A31F7C50A523216E70286942E246E2B113F8B25638C8EA98F79ADD9DC7338936F08E5700986E95E6AC689C60AA38BKF4BE" TargetMode = "External"/>
	<Relationship Id="rId259" Type="http://schemas.openxmlformats.org/officeDocument/2006/relationships/hyperlink" Target="consultantplus://offline/ref=A5F19DF9338CEF7D07014667FA4A31F7C50A523216E50E83952D246E2B113F8B25638C8EA98F79ADD9DC7339936F08E5700986E95E6AC689C60AA38BKF4BE" TargetMode = "External"/>
	<Relationship Id="rId260" Type="http://schemas.openxmlformats.org/officeDocument/2006/relationships/hyperlink" Target="consultantplus://offline/ref=A5F19DF9338CEF7D07014667FA4A31F7C50A523216E403809425246E2B113F8B25638C8EA98F79ADD9DC73309C6F08E5700986E95E6AC689C60AA38BKF4BE" TargetMode = "External"/>
	<Relationship Id="rId261" Type="http://schemas.openxmlformats.org/officeDocument/2006/relationships/hyperlink" Target="consultantplus://offline/ref=A5F19DF9338CEF7D0701586AEC266CFCC9020A3C10E600D1C1782239744139DE65238ADBEACB74ADD0D72769DF3151B53C428BEC4876C68FKD4BE" TargetMode = "External"/>
	<Relationship Id="rId262" Type="http://schemas.openxmlformats.org/officeDocument/2006/relationships/hyperlink" Target="consultantplus://offline/ref=A5F19DF9338CEF7D07014667FA4A31F7C50A523216E10A849B25246E2B113F8B25638C8EA98F79ADD9DC72399F6F08E5700986E95E6AC689C60AA38BKF4BE" TargetMode = "External"/>
	<Relationship Id="rId263" Type="http://schemas.openxmlformats.org/officeDocument/2006/relationships/hyperlink" Target="consultantplus://offline/ref=A5F19DF9338CEF7D07014667FA4A31F7C50A523216E00F829F28246E2B113F8B25638C8EA98F79ADD9DC723C936F08E5700986E95E6AC689C60AA38BKF4BE" TargetMode = "External"/>
	<Relationship Id="rId264" Type="http://schemas.openxmlformats.org/officeDocument/2006/relationships/hyperlink" Target="consultantplus://offline/ref=A5F19DF9338CEF7D07014667FA4A31F7C50A523216E708819E24246E2B113F8B25638C8EA98F79ADD9DC7238986F08E5700986E95E6AC689C60AA38BKF4BE" TargetMode = "External"/>
	<Relationship Id="rId265" Type="http://schemas.openxmlformats.org/officeDocument/2006/relationships/hyperlink" Target="consultantplus://offline/ref=A5F19DF9338CEF7D07014667FA4A31F7C50A523216E603859E2A246E2B113F8B25638C8EA98F79ADD9DC7331926F08E5700986E95E6AC689C60AA38BKF4BE" TargetMode = "External"/>
	<Relationship Id="rId266" Type="http://schemas.openxmlformats.org/officeDocument/2006/relationships/hyperlink" Target="consultantplus://offline/ref=A5F19DF9338CEF7D07014667FA4A31F7C50A523216E403809425246E2B113F8B25638C8EA98F79ADD9DC7331996F08E5700986E95E6AC689C60AA38BKF4BE" TargetMode = "External"/>
	<Relationship Id="rId267" Type="http://schemas.openxmlformats.org/officeDocument/2006/relationships/hyperlink" Target="consultantplus://offline/ref=A5F19DF9338CEF7D0701586AEC266CFCC905083A1EE700D1C1782239744139DE7723D2D7EBC36AACDDC2713899K647E" TargetMode = "External"/>
	<Relationship Id="rId268" Type="http://schemas.openxmlformats.org/officeDocument/2006/relationships/hyperlink" Target="consultantplus://offline/ref=A5F19DF9338CEF7D0701586AEC266CFCC905083A1EE400D1C1782239744139DE7723D2D7EBC36AACDDC2713899K647E" TargetMode = "External"/>
	<Relationship Id="rId269" Type="http://schemas.openxmlformats.org/officeDocument/2006/relationships/hyperlink" Target="consultantplus://offline/ref=A5F19DF9338CEF7D0701586AEC266CFCC9030D3F12E100D1C1782239744139DE7723D2D7EBC36AACDDC2713899K647E" TargetMode = "External"/>
	<Relationship Id="rId270" Type="http://schemas.openxmlformats.org/officeDocument/2006/relationships/hyperlink" Target="consultantplus://offline/ref=A5F19DF9338CEF7D0701586AEC266CFCC9050E3D1FE600D1C1782239744139DE7723D2D7EBC36AACDDC2713899K647E" TargetMode = "External"/>
	<Relationship Id="rId271" Type="http://schemas.openxmlformats.org/officeDocument/2006/relationships/hyperlink" Target="consultantplus://offline/ref=A5F19DF9338CEF7D0701586AEC266CFCCF090E3D10E000D1C1782239744139DE65238ADBEACB74ADD9D72769DF3151B53C428BEC4876C68FKD4BE" TargetMode = "External"/>
	<Relationship Id="rId272" Type="http://schemas.openxmlformats.org/officeDocument/2006/relationships/hyperlink" Target="consultantplus://offline/ref=A5F19DF9338CEF7D0701586AEC266CFCCF030D3D10E600D1C1782239744139DE65238ADBEACB74ADDDD72769DF3151B53C428BEC4876C68FKD4BE" TargetMode = "External"/>
	<Relationship Id="rId273" Type="http://schemas.openxmlformats.org/officeDocument/2006/relationships/hyperlink" Target="consultantplus://offline/ref=A5F19DF9338CEF7D0701586AEC266CFCCF030D3D10E600D1C1782239744139DE65238ADBEACB76ACD0D72769DF3151B53C428BEC4876C68FKD4BE" TargetMode = "External"/>
	<Relationship Id="rId274" Type="http://schemas.openxmlformats.org/officeDocument/2006/relationships/hyperlink" Target="consultantplus://offline/ref=A5F19DF9338CEF7D0701586AEC266CFCC9030D3F12E100D1C1782239744139DE7723D2D7EBC36AACDDC2713899K647E" TargetMode = "External"/>
	<Relationship Id="rId275" Type="http://schemas.openxmlformats.org/officeDocument/2006/relationships/hyperlink" Target="consultantplus://offline/ref=A5F19DF9338CEF7D07014667FA4A31F7C50A523216E00F829F28246E2B113F8B25638C8EA98F79ADD9DC723D986F08E5700986E95E6AC689C60AA38BKF4BE" TargetMode = "External"/>
	<Relationship Id="rId276" Type="http://schemas.openxmlformats.org/officeDocument/2006/relationships/hyperlink" Target="consultantplus://offline/ref=A5F19DF9338CEF7D07014667FA4A31F7C50A523216E603859E2A246E2B113F8B25638C8EA98F79ADD9DC72399F6F08E5700986E95E6AC689C60AA38BKF4BE" TargetMode = "External"/>
	<Relationship Id="rId277" Type="http://schemas.openxmlformats.org/officeDocument/2006/relationships/header" Target="header2.xml"/>
	<Relationship Id="rId278" Type="http://schemas.openxmlformats.org/officeDocument/2006/relationships/footer" Target="footer2.xml"/>
	<Relationship Id="rId279" Type="http://schemas.openxmlformats.org/officeDocument/2006/relationships/hyperlink" Target="consultantplus://offline/ref=A5F19DF9338CEF7D07014667FA4A31F7C50A523216E403809425246E2B113F8B25638C8EA98F79ADD9DC7331986F08E5700986E95E6AC689C60AA38BKF4BE" TargetMode = "External"/>
	<Relationship Id="rId280" Type="http://schemas.openxmlformats.org/officeDocument/2006/relationships/hyperlink" Target="consultantplus://offline/ref=A5F19DF9338CEF7D07014667FA4A31F7C50A523216E403809425246E2B113F8B25638C8EA98F79ADD9DC7331986F08E5700986E95E6AC689C60AA38BKF4BE" TargetMode = "External"/>
	<Relationship Id="rId281" Type="http://schemas.openxmlformats.org/officeDocument/2006/relationships/hyperlink" Target="consultantplus://offline/ref=A5F19DF9338CEF7D07014667FA4A31F7C50A523216E403809425246E2B113F8B25638C8EA98F79ADD9DC73319F6F08E5700986E95E6AC689C60AA38BKF4BE" TargetMode = "External"/>
	<Relationship Id="rId282" Type="http://schemas.openxmlformats.org/officeDocument/2006/relationships/hyperlink" Target="consultantplus://offline/ref=A5F19DF9338CEF7D0701586AEC266CFCC9020A3C10E600D1C1782239744139DE65238AD9EECA7FF8889826359A6C42B4304289E854K747E" TargetMode = "External"/>
	<Relationship Id="rId283" Type="http://schemas.openxmlformats.org/officeDocument/2006/relationships/hyperlink" Target="consultantplus://offline/ref=A5F19DF9338CEF7D0701586AEC266CFCC9020A3914E200D1C1782239744139DE65238ADBEACB74ADD8D72769DF3151B53C428BEC4876C68FKD4BE" TargetMode = "External"/>
	<Relationship Id="rId284" Type="http://schemas.openxmlformats.org/officeDocument/2006/relationships/hyperlink" Target="consultantplus://offline/ref=A5F19DF9338CEF7D07014667FA4A31F7C50A523216E403809425246E2B113F8B25638C8EA98F79ADD9DC73319E6F08E5700986E95E6AC689C60AA38BKF4BE" TargetMode = "External"/>
	<Relationship Id="rId285" Type="http://schemas.openxmlformats.org/officeDocument/2006/relationships/hyperlink" Target="consultantplus://offline/ref=A5F19DF9338CEF7D07014667FA4A31F7C50A523216E10A849B25246E2B113F8B25638C8EA98F79ADD9DC723B9C6F08E5700986E95E6AC689C60AA38BKF4BE" TargetMode = "External"/>
	<Relationship Id="rId286" Type="http://schemas.openxmlformats.org/officeDocument/2006/relationships/hyperlink" Target="consultantplus://offline/ref=A5F19DF9338CEF7D07014667FA4A31F7C50A523216E703879F28246E2B113F8B25638C8EA98F79ADD9DC723A936F08E5700986E95E6AC689C60AA38BKF4BE" TargetMode = "External"/>
	<Relationship Id="rId287" Type="http://schemas.openxmlformats.org/officeDocument/2006/relationships/hyperlink" Target="consultantplus://offline/ref=A5F19DF9338CEF7D07014667FA4A31F7C50A523216E603859E2A246E2B113F8B25638C8EA98F79ADD9DC723B9E6F08E5700986E95E6AC689C60AA38BKF4BE" TargetMode = "External"/>
	<Relationship Id="rId288" Type="http://schemas.openxmlformats.org/officeDocument/2006/relationships/hyperlink" Target="consultantplus://offline/ref=A5F19DF9338CEF7D07014667FA4A31F7C50A523216E603859E2A246E2B113F8B25638C8EA98F79ADD9DC723B9D6F08E5700986E95E6AC689C60AA38BKF4BE"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Пермского края от 28.12.2017 N 1100-п
(ред. от 30.03.2023)
"Об утверждении Порядка предоставления субсидий из бюджета Пермского края субъектам малого и среднего предпринимательства в целях возмещения части затрат, связанных с осуществлением ими предпринимательской деятельности"</dc:title>
  <dcterms:created xsi:type="dcterms:W3CDTF">2023-04-18T04:56:03Z</dcterms:created>
</cp:coreProperties>
</file>