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bookmarkStart w:id="1" w:name="_GoBack"/>
      <w:r>
        <w:t xml:space="preserve">Документ предоставлен </w:t>
      </w:r>
      <w:r>
        <w:rPr>
          <w:color w:val="0000FF"/>
        </w:rPr>
        <w:fldChar w:fldCharType="begin"/>
      </w:r>
      <w:r>
        <w:rPr>
          <w:color w:val="0000FF"/>
        </w:rPr>
        <w:instrText>HYPERLINK "https://www.consultant.ru"</w:instrText>
      </w:r>
      <w:r>
        <w:rPr>
          <w:color w:val="0000FF"/>
        </w:rPr>
        <w:fldChar w:fldCharType="separate"/>
      </w:r>
      <w:r>
        <w:rPr>
          <w:color w:val="0000FF"/>
        </w:rPr>
        <w:t>КонсультантПлюс</w:t>
      </w:r>
      <w:r>
        <w:rPr>
          <w:color w:val="0000FF"/>
        </w:rPr>
        <w:fldChar w:fldCharType="end"/>
      </w:r>
      <w:r>
        <w:br/>
      </w:r>
    </w:p>
    <w:p w14:paraId="02000000">
      <w:pPr>
        <w:pStyle w:val="Style_2"/>
        <w:widowControl w:val="1"/>
        <w:ind/>
        <w:jc w:val="both"/>
        <w:outlineLvl w:val="0"/>
      </w:pPr>
    </w:p>
    <w:p w14:paraId="03000000">
      <w:pPr>
        <w:pStyle w:val="Style_2"/>
        <w:widowControl w:val="1"/>
        <w:ind/>
        <w:outlineLvl w:val="0"/>
      </w:pPr>
      <w:r>
        <w:t>Зарегистрировано в Минюсте России 1 апреля 2022 г. N 68028</w:t>
      </w:r>
    </w:p>
    <w:p w14:paraId="04000000">
      <w:pPr>
        <w:pStyle w:val="Style_2"/>
        <w:widowControl w:val="1"/>
        <w:pBdr>
          <w:bottom w:color="000000" w:space="0" w:sz="6" w:val="single"/>
        </w:pBdr>
        <w:spacing w:after="100" w:before="100"/>
        <w:ind/>
        <w:jc w:val="both"/>
        <w:rPr>
          <w:sz w:val="2"/>
        </w:rPr>
      </w:pPr>
    </w:p>
    <w:p w14:paraId="05000000">
      <w:pPr>
        <w:pStyle w:val="Style_2"/>
        <w:widowControl w:val="1"/>
        <w:ind/>
        <w:jc w:val="both"/>
      </w:pPr>
    </w:p>
    <w:p w14:paraId="06000000">
      <w:pPr>
        <w:pStyle w:val="Style_3"/>
        <w:widowControl w:val="1"/>
        <w:ind/>
        <w:jc w:val="center"/>
      </w:pPr>
      <w:r>
        <w:t>МИНИСТЕРСТВО СЕЛЬСКОГО ХОЗЯЙСТВА РОССИЙСКОЙ ФЕДЕРАЦИИ</w:t>
      </w:r>
    </w:p>
    <w:p w14:paraId="07000000">
      <w:pPr>
        <w:pStyle w:val="Style_3"/>
        <w:widowControl w:val="1"/>
        <w:ind/>
        <w:jc w:val="center"/>
      </w:pPr>
    </w:p>
    <w:p w14:paraId="08000000">
      <w:pPr>
        <w:pStyle w:val="Style_3"/>
        <w:widowControl w:val="1"/>
        <w:ind/>
        <w:jc w:val="center"/>
      </w:pPr>
      <w:r>
        <w:t>ПРИКАЗ</w:t>
      </w:r>
    </w:p>
    <w:p w14:paraId="09000000">
      <w:pPr>
        <w:pStyle w:val="Style_3"/>
        <w:widowControl w:val="1"/>
        <w:ind/>
        <w:jc w:val="center"/>
      </w:pPr>
      <w:r>
        <w:t>от</w:t>
      </w:r>
      <w:r>
        <w:t xml:space="preserve"> 2 марта 2022 г. N 116</w:t>
      </w:r>
    </w:p>
    <w:p w14:paraId="0A000000">
      <w:pPr>
        <w:pStyle w:val="Style_3"/>
        <w:widowControl w:val="1"/>
        <w:ind/>
        <w:jc w:val="center"/>
      </w:pPr>
    </w:p>
    <w:p w14:paraId="0B000000">
      <w:pPr>
        <w:pStyle w:val="Style_3"/>
        <w:widowControl w:val="1"/>
        <w:ind/>
        <w:jc w:val="center"/>
      </w:pPr>
      <w:r>
        <w:t>ОБ УТВЕРЖДЕНИИ ПЕРЕЧНЯ</w:t>
      </w:r>
    </w:p>
    <w:p w14:paraId="0C000000">
      <w:pPr>
        <w:pStyle w:val="Style_3"/>
        <w:widowControl w:val="1"/>
        <w:ind/>
        <w:jc w:val="center"/>
      </w:pPr>
      <w:r>
        <w:t>ЦЕЛЕВЫХ НАПРАВЛЕНИЙ РАСХОДОВАНИЯ ГРАНТА "АГРОТУРИЗМ"</w:t>
      </w:r>
    </w:p>
    <w:p w14:paraId="0D000000">
      <w:pPr>
        <w:pStyle w:val="Style_2"/>
        <w:widowControl w:val="1"/>
        <w:spacing w:after="1"/>
        <w:ind/>
      </w:pPr>
    </w:p>
    <w:tbl>
      <w:tblPr>
        <w:tblStyle w:val="Style_4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10"/>
          <w:right w:type="dxa" w:w="10"/>
        </w:tblCellMar>
      </w:tblPr>
      <w:tblGrid>
        <w:gridCol w:w="60"/>
        <w:gridCol w:w="113"/>
        <w:gridCol w:w="9069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pStyle w:val="Style_2"/>
            </w:pP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pStyle w:val="Style_2"/>
            </w:pPr>
          </w:p>
        </w:tc>
        <w:tc>
          <w:tcPr>
            <w:tcW w:type="dxa" w:w="9069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10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1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</w:rPr>
              <w:t>(</w:t>
            </w:r>
            <w:r>
              <w:rPr>
                <w:color w:val="392C69"/>
              </w:rPr>
              <w:t>в</w:t>
            </w:r>
            <w:r>
              <w:rPr>
                <w:color w:val="392C69"/>
              </w:rPr>
              <w:t xml:space="preserve"> ред. Приказов Минсельхоза России от 07.06.2023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"https://login.consultant.ru/link/?req=doc&amp;base=LAW&amp;n=451937&amp;dst=100006"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553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>,</w:t>
            </w:r>
          </w:p>
          <w:p w14:paraId="12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</w:rPr>
              <w:t>от</w:t>
            </w:r>
            <w:r>
              <w:rPr>
                <w:color w:val="392C69"/>
              </w:rPr>
              <w:t xml:space="preserve"> 08.04.2024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"https://login.consultant.ru/link/?req=doc&amp;base=LAW&amp;n=476472&amp;dst=100006"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195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>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pPr>
              <w:pStyle w:val="Style_2"/>
            </w:pPr>
          </w:p>
        </w:tc>
      </w:tr>
    </w:tbl>
    <w:p w14:paraId="14000000">
      <w:pPr>
        <w:pStyle w:val="Style_2"/>
        <w:widowControl w:val="1"/>
        <w:ind/>
        <w:jc w:val="both"/>
      </w:pPr>
    </w:p>
    <w:p w14:paraId="15000000">
      <w:pPr>
        <w:pStyle w:val="Style_2"/>
        <w:widowControl w:val="1"/>
        <w:ind w:firstLine="540"/>
        <w:jc w:val="both"/>
      </w:pPr>
      <w:r>
        <w:t xml:space="preserve">В соответствии с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"https://login.consultant.ru/link/?req=doc&amp;base=LAW&amp;n=489116&amp;dst=82280"</w:instrText>
      </w:r>
      <w:r>
        <w:rPr>
          <w:color w:val="0000FF"/>
        </w:rPr>
        <w:fldChar w:fldCharType="separate"/>
      </w:r>
      <w:r>
        <w:rPr>
          <w:color w:val="0000FF"/>
        </w:rPr>
        <w:t>пунктом 7</w:t>
      </w:r>
      <w:r>
        <w:rPr>
          <w:color w:val="0000FF"/>
        </w:rPr>
        <w:fldChar w:fldCharType="end"/>
      </w:r>
      <w:r>
        <w:t xml:space="preserve"> Правил предоставления и распределения субсидий из федерального бюджета бюджетам субъектов Российской Федерации на развитие сельского туризма, приведенных в приложении N 12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 (Собрание законодательства Российской Федерации, 2012, N 32, ст. 4549; Официальный интернет-портал правовой информации (www.pravo.gov.ru), 2021, 22 декабря, N 0001202112220031), приказываю:</w:t>
      </w:r>
    </w:p>
    <w:p w14:paraId="16000000">
      <w:pPr>
        <w:pStyle w:val="Style_2"/>
        <w:widowControl w:val="1"/>
        <w:spacing w:before="220"/>
        <w:ind w:firstLine="540"/>
        <w:jc w:val="both"/>
      </w:pPr>
      <w:r>
        <w:t xml:space="preserve">1. Утвердить </w:t>
      </w:r>
      <w:r>
        <w:rPr>
          <w:color w:val="0000FF"/>
        </w:rPr>
        <w:fldChar w:fldCharType="begin"/>
      </w:r>
      <w:r>
        <w:rPr>
          <w:color w:val="0000FF"/>
        </w:rPr>
        <w:instrText>HYPERLINK \l "P30"</w:instrText>
      </w:r>
      <w:r>
        <w:rPr>
          <w:color w:val="0000FF"/>
        </w:rPr>
        <w:fldChar w:fldCharType="separate"/>
      </w:r>
      <w:r>
        <w:rPr>
          <w:color w:val="0000FF"/>
        </w:rPr>
        <w:t>перечень</w:t>
      </w:r>
      <w:r>
        <w:rPr>
          <w:color w:val="0000FF"/>
        </w:rPr>
        <w:fldChar w:fldCharType="end"/>
      </w:r>
      <w:r>
        <w:t xml:space="preserve"> целевых направлений расходования гранта "Агротуризм" согласно приложению к настоящему приказу.</w:t>
      </w:r>
    </w:p>
    <w:p w14:paraId="17000000">
      <w:pPr>
        <w:pStyle w:val="Style_2"/>
        <w:widowControl w:val="1"/>
        <w:spacing w:before="220"/>
        <w:ind w:firstLine="540"/>
        <w:jc w:val="both"/>
      </w:pPr>
      <w:r>
        <w:t>2. Контроль за выполнением настоящего приказа возложить на первого заместителя Министра сельского хозяйства Российской Федерации О.Н. Лут.</w:t>
      </w:r>
    </w:p>
    <w:p w14:paraId="18000000">
      <w:pPr>
        <w:pStyle w:val="Style_2"/>
        <w:widowControl w:val="1"/>
        <w:ind/>
        <w:jc w:val="both"/>
      </w:pPr>
    </w:p>
    <w:p w14:paraId="19000000">
      <w:pPr>
        <w:pStyle w:val="Style_2"/>
        <w:widowControl w:val="1"/>
        <w:ind/>
        <w:jc w:val="right"/>
      </w:pPr>
      <w:r>
        <w:t>Министр</w:t>
      </w:r>
    </w:p>
    <w:p w14:paraId="1A000000">
      <w:pPr>
        <w:pStyle w:val="Style_2"/>
        <w:widowControl w:val="1"/>
        <w:ind/>
        <w:jc w:val="right"/>
      </w:pPr>
      <w:r>
        <w:t>Д.Н.ПАТРУШЕВ</w:t>
      </w:r>
    </w:p>
    <w:p w14:paraId="1B000000">
      <w:pPr>
        <w:pStyle w:val="Style_2"/>
        <w:widowControl w:val="1"/>
        <w:ind/>
        <w:jc w:val="both"/>
      </w:pPr>
    </w:p>
    <w:p w14:paraId="1C000000">
      <w:pPr>
        <w:pStyle w:val="Style_2"/>
        <w:widowControl w:val="1"/>
        <w:ind/>
        <w:jc w:val="both"/>
      </w:pPr>
    </w:p>
    <w:p w14:paraId="1D000000">
      <w:pPr>
        <w:pStyle w:val="Style_2"/>
        <w:widowControl w:val="1"/>
        <w:ind/>
        <w:jc w:val="both"/>
      </w:pPr>
    </w:p>
    <w:p w14:paraId="1E000000">
      <w:pPr>
        <w:pStyle w:val="Style_2"/>
        <w:widowControl w:val="1"/>
        <w:ind/>
        <w:jc w:val="both"/>
      </w:pPr>
    </w:p>
    <w:p w14:paraId="1F000000">
      <w:pPr>
        <w:pStyle w:val="Style_2"/>
        <w:widowControl w:val="1"/>
        <w:ind/>
        <w:jc w:val="both"/>
      </w:pPr>
    </w:p>
    <w:p w14:paraId="20000000">
      <w:pPr>
        <w:pStyle w:val="Style_2"/>
        <w:widowControl w:val="1"/>
        <w:ind/>
        <w:jc w:val="right"/>
        <w:outlineLvl w:val="0"/>
      </w:pPr>
      <w:r>
        <w:t>Приложение</w:t>
      </w:r>
    </w:p>
    <w:p w14:paraId="21000000">
      <w:pPr>
        <w:pStyle w:val="Style_2"/>
        <w:widowControl w:val="1"/>
        <w:ind/>
        <w:jc w:val="right"/>
      </w:pPr>
      <w:r>
        <w:t>к</w:t>
      </w:r>
      <w:r>
        <w:t xml:space="preserve"> приказу Минсельхоза России</w:t>
      </w:r>
    </w:p>
    <w:p w14:paraId="22000000">
      <w:pPr>
        <w:pStyle w:val="Style_2"/>
        <w:widowControl w:val="1"/>
        <w:ind/>
        <w:jc w:val="right"/>
      </w:pPr>
      <w:r>
        <w:t>от</w:t>
      </w:r>
      <w:r>
        <w:t xml:space="preserve"> 02.03.2022 N 116</w:t>
      </w:r>
    </w:p>
    <w:p w14:paraId="23000000">
      <w:pPr>
        <w:pStyle w:val="Style_2"/>
        <w:widowControl w:val="1"/>
        <w:ind/>
        <w:jc w:val="both"/>
      </w:pPr>
    </w:p>
    <w:p w14:paraId="24000000">
      <w:pPr>
        <w:pStyle w:val="Style_3"/>
        <w:widowControl w:val="1"/>
        <w:ind/>
        <w:jc w:val="center"/>
      </w:pPr>
      <w:bookmarkStart w:id="2" w:name="P30"/>
      <w:bookmarkEnd w:id="2"/>
      <w:r>
        <w:t>ПЕРЕЧЕНЬ</w:t>
      </w:r>
    </w:p>
    <w:p w14:paraId="25000000">
      <w:pPr>
        <w:pStyle w:val="Style_3"/>
        <w:widowControl w:val="1"/>
        <w:ind/>
        <w:jc w:val="center"/>
      </w:pPr>
      <w:r>
        <w:t>ЦЕЛЕВЫХ НАПРАВЛЕНИЙ РАСХОДОВАНИЯ ГРАНТА "АГРОТУРИЗМ"</w:t>
      </w:r>
    </w:p>
    <w:p w14:paraId="26000000">
      <w:pPr>
        <w:pStyle w:val="Style_2"/>
        <w:widowControl w:val="1"/>
        <w:spacing w:after="1"/>
        <w:ind/>
      </w:pPr>
    </w:p>
    <w:tbl>
      <w:tblPr>
        <w:tblStyle w:val="Style_4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10"/>
          <w:right w:type="dxa" w:w="10"/>
        </w:tblCellMar>
      </w:tblPr>
      <w:tblGrid>
        <w:gridCol w:w="60"/>
        <w:gridCol w:w="113"/>
        <w:gridCol w:w="9069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7000000">
            <w:pPr>
              <w:pStyle w:val="Style_2"/>
            </w:pP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8000000">
            <w:pPr>
              <w:pStyle w:val="Style_2"/>
            </w:pPr>
          </w:p>
        </w:tc>
        <w:tc>
          <w:tcPr>
            <w:tcW w:type="dxa" w:w="9069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29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A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</w:rPr>
              <w:t>(</w:t>
            </w:r>
            <w:r>
              <w:rPr>
                <w:color w:val="392C69"/>
              </w:rPr>
              <w:t>в</w:t>
            </w:r>
            <w:r>
              <w:rPr>
                <w:color w:val="392C69"/>
              </w:rPr>
              <w:t xml:space="preserve"> ред. Приказов Минсельхоза России от 07.06.2023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"https://login.consultant.ru/link/?req=doc&amp;base=LAW&amp;n=451937&amp;dst=100006"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553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>,</w:t>
            </w:r>
          </w:p>
          <w:p w14:paraId="2B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</w:rPr>
              <w:t>от</w:t>
            </w:r>
            <w:r>
              <w:rPr>
                <w:color w:val="392C69"/>
              </w:rPr>
              <w:t xml:space="preserve"> 08.04.2024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"https://login.consultant.ru/link/?req=doc&amp;base=LAW&amp;n=476472&amp;dst=100006"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195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>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C000000">
            <w:pPr>
              <w:pStyle w:val="Style_2"/>
            </w:pPr>
          </w:p>
        </w:tc>
      </w:tr>
    </w:tbl>
    <w:p w14:paraId="2D000000">
      <w:pPr>
        <w:pStyle w:val="Style_2"/>
        <w:widowControl w:val="1"/>
        <w:ind/>
        <w:jc w:val="both"/>
      </w:pPr>
    </w:p>
    <w:p w14:paraId="2E000000">
      <w:pPr>
        <w:pStyle w:val="Style_2"/>
        <w:widowControl w:val="1"/>
        <w:ind w:firstLine="540"/>
        <w:jc w:val="both"/>
      </w:pPr>
      <w:r>
        <w:t>Средства гранта "Агротуризм" могут быть расходованы на следующие целевые направления:</w:t>
      </w:r>
    </w:p>
    <w:p w14:paraId="2F000000">
      <w:pPr>
        <w:pStyle w:val="Style_2"/>
        <w:widowControl w:val="1"/>
        <w:spacing w:before="220"/>
        <w:ind w:firstLine="540"/>
        <w:jc w:val="both"/>
      </w:pPr>
      <w:r>
        <w:t>1) приобретение, строительство, модернизацию или реконструкцию средств размещения, в том числе модульных, используемых для осуществления деятельности по оказанию услуг в сфере сельского туризма, объектов туристского показа, объектов развлекательной инфраструктуры сельского туризма, включая детские развлекательные комплексы, объектов проката;</w:t>
      </w:r>
    </w:p>
    <w:p w14:paraId="30000000">
      <w:pPr>
        <w:pStyle w:val="Style_2"/>
        <w:widowControl w:val="1"/>
        <w:spacing w:before="220"/>
        <w:ind w:firstLine="540"/>
        <w:jc w:val="both"/>
      </w:pPr>
      <w:r>
        <w:t>2) подключение средств размещения, объектов, используемых для осуществления деятельности по оказанию услуг в сфере сельского туризма, объектов туристского показа, объектов развлекательной инфраструктуры сельского туризма, включая детские развлекательные комплексы, к электрическим, водо-, газо- и теплопроводным сетям, в том числе автономным, канализационным сетям, обустройство автономных источников электро-, водо-, газо- и теплоснабжения;</w:t>
      </w:r>
    </w:p>
    <w:p w14:paraId="31000000">
      <w:pPr>
        <w:pStyle w:val="Style_2"/>
        <w:widowControl w:val="1"/>
        <w:spacing w:before="220"/>
        <w:ind w:firstLine="540"/>
        <w:jc w:val="both"/>
      </w:pPr>
      <w:r>
        <w:t xml:space="preserve">3) приобретение и монтаж туристского оборудования, снаряжения и инвентаря в целях обеспечения эксплуатации туристических объектов, в том числе пунктов проката, объектов туристского показа и объектов развлекательной инфраструктуры, включая детские развлекательные комплексы, мебели и оборудования для оснащения средств размещения, используемых для осуществления деятельности по оказанию услуг в сфере сельского туризма, техники, специализированного транспорта, согласно следующим кодам видов продукции в соответствии с Общероссийским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"https://login.consultant.ru/link/?req=doc&amp;base=LAW&amp;n=489890"</w:instrText>
      </w:r>
      <w:r>
        <w:rPr>
          <w:color w:val="0000FF"/>
        </w:rPr>
        <w:fldChar w:fldCharType="separate"/>
      </w:r>
      <w:r>
        <w:rPr>
          <w:color w:val="0000FF"/>
        </w:rPr>
        <w:t>классификатором</w:t>
      </w:r>
      <w:r>
        <w:rPr>
          <w:color w:val="0000FF"/>
        </w:rPr>
        <w:fldChar w:fldCharType="end"/>
      </w:r>
      <w:r>
        <w:t xml:space="preserve"> продукции по видам экономической деятельности (ОКПД 2) ОК 034-2014 (КПЕС 2008):</w:t>
      </w:r>
    </w:p>
    <w:p w14:paraId="32000000">
      <w:pPr>
        <w:pStyle w:val="Style_2"/>
        <w:widowControl w:val="1"/>
        <w:ind w:firstLine="540"/>
        <w:jc w:val="both"/>
      </w:pPr>
    </w:p>
    <w:tbl>
      <w:tblPr>
        <w:tblStyle w:val="Style_4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843"/>
        <w:gridCol w:w="7217"/>
      </w:tblGrid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"https://login.consultant.ru/link/?req=doc&amp;base=LAW&amp;n=489890&amp;dst=111087"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16.23.20.120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00000">
            <w:pPr>
              <w:pStyle w:val="Style_2"/>
            </w:pPr>
            <w:r>
              <w:t>Домики деревянные для содержания зверей, животных и птиц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"https://login.consultant.ru/link/?req=doc&amp;base=LAW&amp;n=489890&amp;dst=120263"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27.11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00000">
            <w:pPr>
              <w:pStyle w:val="Style_2"/>
            </w:pPr>
            <w:r>
              <w:t>Электродвигатели, генераторы, трансформаторы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"https://login.consultant.ru/link/?req=doc&amp;base=LAW&amp;n=489890&amp;dst=120849"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27.51.21.121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00000">
            <w:pPr>
              <w:pStyle w:val="Style_2"/>
            </w:pPr>
            <w:r>
              <w:t>Машины кухонные универсальные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"https://login.consultant.ru/link/?req=doc&amp;base=LAW&amp;n=489890&amp;dst=122047"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28.25.12.130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00000">
            <w:pPr>
              <w:pStyle w:val="Style_2"/>
            </w:pPr>
            <w:r>
              <w:t>Кондиционеры бытовые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"https://login.consultant.ru/link/?req=doc&amp;base=LAW&amp;n=489890&amp;dst=122051"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28.25.13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00000">
            <w:pPr>
              <w:pStyle w:val="Style_2"/>
            </w:pPr>
            <w:r>
              <w:t>Оборудование холодильное и морозильное и тепловые насосы, кроме бытового оборудования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"https://login.consultant.ru/link/?req=doc&amp;base=LAW&amp;n=489890&amp;dst=122233"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28.29.32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00000">
            <w:pPr>
              <w:pStyle w:val="Style_2"/>
            </w:pPr>
            <w:r>
              <w:t>Устройства взвешивающие и весы для взвешивания людей и бытовые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"https://login.consultant.ru/link/?req=doc&amp;base=LAW&amp;n=489890&amp;dst=122257"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28.29.5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00000">
            <w:pPr>
              <w:pStyle w:val="Style_2"/>
            </w:pPr>
            <w:r>
              <w:t>Машины посудомоечные промышленного типа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00000">
            <w:pPr>
              <w:pStyle w:val="Style_2"/>
            </w:pPr>
            <w:r>
              <w:t>28.30.2</w:t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00000">
            <w:pPr>
              <w:pStyle w:val="Style_2"/>
            </w:pPr>
            <w:r>
              <w:t xml:space="preserve">Утратило силу. -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"https://login.consultant.ru/link/?req=doc&amp;base=LAW&amp;n=476472&amp;dst=100006"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Минсельхоза России от 08.04.2024 N 195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"https://login.consultant.ru/link/?req=doc&amp;base=LAW&amp;n=489890&amp;dst=122551"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28.30.86.120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00000">
            <w:pPr>
              <w:pStyle w:val="Style_2"/>
            </w:pPr>
            <w:r>
              <w:t>Оборудование для садоводства, не включенное в другие группировки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"https://login.consultant.ru/link/?req=doc&amp;base=LAW&amp;n=489890&amp;dst=123035"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28.93.15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00000">
            <w:pPr>
              <w:pStyle w:val="Style_2"/>
            </w:pPr>
            <w:r>
              <w:t>Печи хлебопекарные неэлектрические; оборудование промышленное для приготовления или подогрева пищи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"https://login.consultant.ru/link/?req=doc&amp;base=LAW&amp;n=489890&amp;dst=123037"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28.93.15.110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pStyle w:val="Style_2"/>
            </w:pPr>
            <w:r>
              <w:t>Печи хлебопекарные неэлектрические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"https://login.consultant.ru/link/?req=doc&amp;base=LAW&amp;n=489890&amp;dst=123039"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28.93.15.120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pStyle w:val="Style_2"/>
            </w:pPr>
            <w:r>
              <w:t>Оборудование для промышленного приготовления или подогрева пищи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"https://login.consultant.ru/link/?req=doc&amp;base=LAW&amp;n=489890&amp;dst=123041"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28.93.15.121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00000">
            <w:pPr>
              <w:pStyle w:val="Style_2"/>
            </w:pPr>
            <w:r>
              <w:t>Котлы стационарные пищеварочные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"https://login.consultant.ru/link/?req=doc&amp;base=LAW&amp;n=489890&amp;dst=123043"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28.93.15.122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00000">
            <w:pPr>
              <w:pStyle w:val="Style_2"/>
            </w:pPr>
            <w:r>
              <w:t>Плиты кухонные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"https://login.consultant.ru/link/?req=doc&amp;base=LAW&amp;n=489890&amp;dst=123045"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28.93.15.123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pStyle w:val="Style_2"/>
            </w:pPr>
            <w:r>
              <w:t>Аппараты пищеварочные и жарочные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"https://login.consultant.ru/link/?req=doc&amp;base=LAW&amp;n=489890&amp;dst=123051"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28.93.15.126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pStyle w:val="Style_2"/>
            </w:pPr>
            <w:r>
              <w:t>Пароконвектоматы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"https://login.consultant.ru/link/?req=doc&amp;base=LAW&amp;n=489890&amp;dst=123053"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28.93.15.127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pStyle w:val="Style_2"/>
            </w:pPr>
            <w:r>
              <w:t>Шкафы пекарские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"https://login.consultant.ru/link/?req=doc&amp;base=LAW&amp;n=489890&amp;dst=123055"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28.93.15.128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pStyle w:val="Style_2"/>
            </w:pPr>
            <w:r>
              <w:t>Шкафы жарочные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"https://login.consultant.ru/link/?req=doc&amp;base=LAW&amp;n=489890&amp;dst=123057"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28.93.15.131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pStyle w:val="Style_2"/>
            </w:pPr>
            <w:r>
              <w:t>Мармиты тепловые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"https://login.consultant.ru/link/?req=doc&amp;base=LAW&amp;n=489890&amp;dst=123059"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28.93.15.132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pStyle w:val="Style_2"/>
            </w:pPr>
            <w:r>
              <w:t>Столы тепловые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"https://login.consultant.ru/link/?req=doc&amp;base=LAW&amp;n=489890&amp;dst=123061"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28.93.15.133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pStyle w:val="Style_2"/>
            </w:pPr>
            <w:r>
              <w:t>Поверхности жарочные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"https://login.consultant.ru/link/?req=doc&amp;base=LAW&amp;n=489890&amp;dst=123063"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28.93.15.139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pStyle w:val="Style_2"/>
            </w:pPr>
            <w:r>
              <w:t>Оборудование для промышленного приготовления или подогрева пищи прочее, не включенное в другие группировки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"https://login.consultant.ru/link/?req=doc&amp;base=LAW&amp;n=489890&amp;dst=123071"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28.93.17.110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pStyle w:val="Style_2"/>
            </w:pPr>
            <w: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"https://login.consultant.ru/link/?req=doc&amp;base=LAW&amp;n=489890&amp;dst=123073"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28.93.17.111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pStyle w:val="Style_2"/>
            </w:pPr>
            <w:r>
              <w:t>Машины очистительные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"https://login.consultant.ru/link/?req=doc&amp;base=LAW&amp;n=489890&amp;dst=123075"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28.93.17.112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pStyle w:val="Style_2"/>
            </w:pPr>
            <w:r>
              <w:t>Машины для измельчения и нарезания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"https://login.consultant.ru/link/?req=doc&amp;base=LAW&amp;n=489890&amp;dst=123077"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28.93.17.113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pStyle w:val="Style_2"/>
            </w:pPr>
            <w:r>
              <w:t>Машины месильно-перемешивающие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"https://login.consultant.ru/link/?req=doc&amp;base=LAW&amp;n=489890&amp;dst=123079"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28.93.17.114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pStyle w:val="Style_2"/>
            </w:pPr>
            <w:r>
              <w:t>Машины дозировочно-формовочные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"https://login.consultant.ru/link/?req=doc&amp;base=LAW&amp;n=489890&amp;dst=123081"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28.93.17.115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pStyle w:val="Style_2"/>
            </w:pPr>
            <w:r>
              <w:t>Машины универсальные с комплектом сменных механизмов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"https://login.consultant.ru/link/?req=doc&amp;base=LAW&amp;n=489890&amp;dst=123083"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28.93.17.119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pStyle w:val="Style_2"/>
            </w:pPr>
            <w:r>
              <w:t>Машины для механической обработки прочие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"https://login.consultant.ru/link/?req=doc&amp;base=LAW&amp;n=489890&amp;dst=123085"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28.93.17.120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pStyle w:val="Style_2"/>
            </w:pPr>
            <w:r>
              <w:t>Оборудование для производства хлебобулочных изделий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"https://login.consultant.ru/link/?req=doc&amp;base=LAW&amp;n=489890&amp;dst=123429"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28.99.32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pStyle w:val="Style_2"/>
            </w:pPr>
            <w:r>
              <w:t>Карусели, качели, тиры и прочие аттракционы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"https://login.consultant.ru/link/?req=doc&amp;base=LAW&amp;n=489890&amp;dst=123431"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28.99.32.110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pStyle w:val="Style_2"/>
            </w:pPr>
            <w:r>
              <w:t>Карусели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"https://login.consultant.ru/link/?req=doc&amp;base=LAW&amp;n=489890&amp;dst=123433"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28.99.32.120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pStyle w:val="Style_2"/>
            </w:pPr>
            <w:r>
              <w:t>Качели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"https://login.consultant.ru/link/?req=doc&amp;base=LAW&amp;n=489890&amp;dst=123529"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29.10.3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pStyle w:val="Style_2"/>
            </w:pPr>
            <w:r>
              <w:t>Средства автотранспортные для перевозки 10 или более человек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"https://login.consultant.ru/link/?req=doc&amp;base=LAW&amp;n=489890&amp;dst=123603"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29.10.52.110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pStyle w:val="Style_2"/>
            </w:pPr>
            <w:r>
              <w:t>Средства транспортные снегоходные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"https://login.consultant.ru/link/?req=doc&amp;base=LAW&amp;n=489890&amp;dst=123607"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29.10.52.130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pStyle w:val="Style_2"/>
            </w:pPr>
            <w:r>
              <w:t>Квадроциклы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"https://login.consultant.ru/link/?req=doc&amp;base=LAW&amp;n=489890&amp;dst=123665"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29.10.59.280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pStyle w:val="Style_2"/>
            </w:pPr>
            <w:r>
              <w:t>Средства транспортные - фургоны для перевозки пищевых продуктов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"https://login.consultant.ru/link/?req=doc&amp;base=LAW&amp;n=489890&amp;dst=123717"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29.20.22.000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pStyle w:val="Style_2"/>
            </w:pPr>
            <w:r>
              <w:t>Прицепы и полуприцепы типа фургонов для проживания или отдыха на природе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"https://login.consultant.ru/link/?req=doc&amp;base=LAW&amp;n=489890&amp;dst=123989"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30.11.21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pStyle w:val="Style_2"/>
            </w:pPr>
            <w:r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"https://login.consultant.ru/link/?req=doc&amp;base=LAW&amp;n=489890&amp;dst=124185"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30.12.19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pStyle w:val="Style_2"/>
            </w:pPr>
            <w:r>
              <w:t>Суда прогулочные или спортивные прочие; лодки гребные, шлюпки и каноэ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"https://login.consultant.ru/link/?req=doc&amp;base=LAW&amp;n=489890&amp;dst=124459"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30.30.20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pStyle w:val="Style_2"/>
            </w:pPr>
            <w:r>
              <w:t>Аэростаты и дирижабли; планеры, дельтапланы и прочие безмоторные летательные аппараты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"https://login.consultant.ru/link/?req=doc&amp;base=LAW&amp;n=489890&amp;dst=124743"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31.01.13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pStyle w:val="Style_2"/>
            </w:pPr>
            <w:r>
              <w:t>Мебель деревянная для предприятий торговли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"https://login.consultant.ru/link/?req=doc&amp;base=LAW&amp;n=489890&amp;dst=124753"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31.02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pStyle w:val="Style_2"/>
            </w:pPr>
            <w:r>
              <w:t>Мебель кухонная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"https://login.consultant.ru/link/?req=doc&amp;base=LAW&amp;n=489890&amp;dst=124815"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31.09.12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pStyle w:val="Style_2"/>
            </w:pPr>
            <w:r>
              <w:t>Мебель деревянная для спальни, столовой и гостиной</w:t>
            </w:r>
          </w:p>
        </w:tc>
      </w:tr>
      <w:tr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pStyle w:val="Style_2"/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"https://login.consultant.ru/link/?req=doc&amp;base=LAW&amp;n=489890&amp;dst=124871"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31.09.14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type="dxa" w:w="72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pStyle w:val="Style_2"/>
            </w:pPr>
            <w:r>
              <w:t>Мебель из пластмасс или прочих материалов (тростника, лозы или бамбука).</w:t>
            </w:r>
          </w:p>
        </w:tc>
      </w:tr>
    </w:tbl>
    <w:p w14:paraId="8D000000">
      <w:pPr>
        <w:pStyle w:val="Style_2"/>
        <w:widowControl w:val="1"/>
        <w:ind w:firstLine="540"/>
        <w:jc w:val="both"/>
      </w:pPr>
    </w:p>
    <w:p w14:paraId="8E000000">
      <w:pPr>
        <w:pStyle w:val="Style_2"/>
        <w:widowControl w:val="1"/>
        <w:ind w:firstLine="540"/>
        <w:jc w:val="both"/>
      </w:pPr>
      <w:r>
        <w:t>Приобретение указанного оборудования, снаряжения и инвентаря, бывших в употреблении и эксплуатации, не допускается;</w:t>
      </w:r>
    </w:p>
    <w:p w14:paraId="8F000000">
      <w:pPr>
        <w:pStyle w:val="Style_2"/>
        <w:widowControl w:val="1"/>
        <w:ind/>
        <w:jc w:val="both"/>
      </w:pPr>
      <w:r>
        <w:t>(</w:t>
      </w:r>
      <w:r>
        <w:t>п.</w:t>
      </w:r>
      <w:r>
        <w:t xml:space="preserve"> 3 в ред.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"https://login.consultant.ru/link/?req=doc&amp;base=LAW&amp;n=451937&amp;dst=100010"</w:instrText>
      </w:r>
      <w:r>
        <w:rPr>
          <w:color w:val="0000FF"/>
        </w:rPr>
        <w:fldChar w:fldCharType="separate"/>
      </w:r>
      <w:r>
        <w:rPr>
          <w:color w:val="0000FF"/>
        </w:rPr>
        <w:t>Приказа</w:t>
      </w:r>
      <w:r>
        <w:rPr>
          <w:color w:val="0000FF"/>
        </w:rPr>
        <w:fldChar w:fldCharType="end"/>
      </w:r>
      <w:r>
        <w:t xml:space="preserve"> Минсельхоза России от 07.06.2023 N 553)</w:t>
      </w:r>
    </w:p>
    <w:p w14:paraId="90000000">
      <w:pPr>
        <w:pStyle w:val="Style_2"/>
        <w:widowControl w:val="1"/>
        <w:spacing w:before="220"/>
        <w:ind w:firstLine="540"/>
        <w:jc w:val="both"/>
      </w:pPr>
      <w:r>
        <w:t>4) проведение работ по благоустройству территорий, прилегающих к средствам размещения, используемым для осуществления деятельности по оказанию услуг в сфере сельского туризма, объектам туристского показа, объектам развлекательной инфраструктуры сельского туризма, включая детские развлекательные комплексы, объектам проката, в том числе:</w:t>
      </w:r>
    </w:p>
    <w:p w14:paraId="91000000">
      <w:pPr>
        <w:pStyle w:val="Style_2"/>
        <w:widowControl w:val="1"/>
        <w:spacing w:before="220"/>
        <w:ind w:firstLine="540"/>
        <w:jc w:val="both"/>
      </w:pPr>
      <w:r>
        <w:t>создание</w:t>
      </w:r>
      <w:r>
        <w:t xml:space="preserve">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здоровья;</w:t>
      </w:r>
    </w:p>
    <w:p w14:paraId="92000000">
      <w:pPr>
        <w:pStyle w:val="Style_2"/>
        <w:widowControl w:val="1"/>
        <w:spacing w:before="220"/>
        <w:ind w:firstLine="540"/>
        <w:jc w:val="both"/>
      </w:pPr>
      <w:r>
        <w:t>организация</w:t>
      </w:r>
      <w:r>
        <w:t xml:space="preserve"> освещения территории, включая архитектурную подсветку зданий, строений, сооружений, в том числе с использованием энергосберегающих технологий;</w:t>
      </w:r>
    </w:p>
    <w:p w14:paraId="93000000">
      <w:pPr>
        <w:pStyle w:val="Style_2"/>
        <w:widowControl w:val="1"/>
        <w:spacing w:before="220"/>
        <w:ind w:firstLine="540"/>
        <w:jc w:val="both"/>
      </w:pPr>
      <w:r>
        <w:t>организация</w:t>
      </w:r>
      <w:r>
        <w:t xml:space="preserve"> пешеходных коммуникаций, в том числе тротуаров, аллей, велосипедных дорожек, тропинок;</w:t>
      </w:r>
    </w:p>
    <w:p w14:paraId="94000000">
      <w:pPr>
        <w:pStyle w:val="Style_2"/>
        <w:widowControl w:val="1"/>
        <w:spacing w:before="220"/>
        <w:ind w:firstLine="540"/>
        <w:jc w:val="both"/>
      </w:pPr>
      <w:r>
        <w:t>создание</w:t>
      </w:r>
      <w:r>
        <w:t xml:space="preserve"> и обустройство мест парковок;</w:t>
      </w:r>
    </w:p>
    <w:p w14:paraId="95000000">
      <w:pPr>
        <w:pStyle w:val="Style_2"/>
        <w:widowControl w:val="1"/>
        <w:spacing w:before="220"/>
        <w:ind w:firstLine="540"/>
        <w:jc w:val="both"/>
      </w:pPr>
      <w:r>
        <w:t>установка</w:t>
      </w:r>
      <w:r>
        <w:t xml:space="preserve"> (обустройство) ограждений, в том числе газонных и тротуарных ограждений;</w:t>
      </w:r>
    </w:p>
    <w:p w14:paraId="96000000">
      <w:pPr>
        <w:pStyle w:val="Style_2"/>
        <w:widowControl w:val="1"/>
        <w:spacing w:before="220"/>
        <w:ind w:firstLine="540"/>
        <w:jc w:val="both"/>
      </w:pPr>
      <w:r>
        <w:t>обустройство</w:t>
      </w:r>
      <w:r>
        <w:t xml:space="preserve"> территории в целях обеспечения беспрепятственного передвижения инвалидов и других маломобильных групп населения;</w:t>
      </w:r>
    </w:p>
    <w:p w14:paraId="97000000">
      <w:pPr>
        <w:pStyle w:val="Style_2"/>
        <w:widowControl w:val="1"/>
        <w:spacing w:before="220"/>
        <w:ind w:firstLine="540"/>
        <w:jc w:val="both"/>
      </w:pPr>
      <w:r>
        <w:t>сохранение</w:t>
      </w:r>
      <w:r>
        <w:t xml:space="preserve"> и восстановление природных ландшафтов и историко-культурных памятников.</w:t>
      </w:r>
    </w:p>
    <w:p w14:paraId="98000000">
      <w:pPr>
        <w:pStyle w:val="Style_2"/>
        <w:widowControl w:val="1"/>
        <w:spacing w:before="220"/>
        <w:ind w:firstLine="540"/>
        <w:jc w:val="both"/>
      </w:pPr>
      <w:r>
        <w:t>Список элементов благоустройства и виды работ, включаемые в проекты развития сельского туризма, определяются органом, уполномоченным высшим исполнительным органом субъекта Российской Федерации на взаимодействие с Министерством сельского хозяйства Российской Федерации.</w:t>
      </w:r>
    </w:p>
    <w:p w14:paraId="99000000">
      <w:pPr>
        <w:pStyle w:val="Style_2"/>
        <w:widowControl w:val="1"/>
        <w:ind/>
        <w:jc w:val="both"/>
      </w:pPr>
      <w:r>
        <w:t>(</w:t>
      </w:r>
      <w:r>
        <w:t>в</w:t>
      </w:r>
      <w:r>
        <w:t xml:space="preserve"> ред.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"https://login.consultant.ru/link/?req=doc&amp;base=LAW&amp;n=451937&amp;dst=100103"</w:instrText>
      </w:r>
      <w:r>
        <w:rPr>
          <w:color w:val="0000FF"/>
        </w:rPr>
        <w:fldChar w:fldCharType="separate"/>
      </w:r>
      <w:r>
        <w:rPr>
          <w:color w:val="0000FF"/>
        </w:rPr>
        <w:t>Приказа</w:t>
      </w:r>
      <w:r>
        <w:rPr>
          <w:color w:val="0000FF"/>
        </w:rPr>
        <w:fldChar w:fldCharType="end"/>
      </w:r>
      <w:r>
        <w:t xml:space="preserve"> Минсельхоза России от 07.06.2023 N 553)</w:t>
      </w:r>
    </w:p>
    <w:p w14:paraId="9A000000">
      <w:pPr>
        <w:pStyle w:val="Style_2"/>
        <w:widowControl w:val="1"/>
        <w:ind/>
        <w:jc w:val="both"/>
      </w:pPr>
    </w:p>
    <w:p w14:paraId="9B000000">
      <w:pPr>
        <w:pStyle w:val="Style_2"/>
        <w:widowControl w:val="1"/>
        <w:ind/>
        <w:jc w:val="both"/>
      </w:pPr>
    </w:p>
    <w:p w14:paraId="9C000000">
      <w:pPr>
        <w:pStyle w:val="Style_2"/>
        <w:widowControl w:val="1"/>
        <w:pBdr>
          <w:bottom w:color="000000" w:space="0" w:sz="6" w:val="single"/>
        </w:pBdr>
        <w:spacing w:after="100" w:before="100"/>
        <w:ind/>
        <w:jc w:val="both"/>
        <w:rPr>
          <w:sz w:val="2"/>
        </w:rPr>
      </w:pPr>
      <w:bookmarkEnd w:id="1"/>
    </w:p>
    <w:p w14:paraId="9D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3" w:type="paragraph">
    <w:name w:val="ConsPlusTitle"/>
    <w:link w:val="Style_3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_ch" w:type="character">
    <w:name w:val="ConsPlusTitle"/>
    <w:link w:val="Style_3"/>
    <w:rPr>
      <w:rFonts w:ascii="Calibri" w:hAnsi="Calibri"/>
      <w:b w:val="1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5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5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5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1" w:type="paragraph">
    <w:name w:val="ConsPlusTitlePage"/>
    <w:link w:val="Style_1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_ch" w:type="character">
    <w:name w:val="ConsPlusTitlePage"/>
    <w:link w:val="Style_1"/>
    <w:rPr>
      <w:rFonts w:ascii="Tahoma" w:hAnsi="Tahoma"/>
      <w:sz w:val="20"/>
    </w:rPr>
  </w:style>
  <w:style w:styleId="Style_23" w:type="paragraph">
    <w:name w:val="Subtitle"/>
    <w:next w:val="Style_5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5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5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5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2026-02-06T08:14:36Z</dcterms:created>
  <dcterms:modified xsi:type="dcterms:W3CDTF">2026-02-06T08:14:36Z</dcterms:modified>
</cp:coreProperties>
</file>