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AB" w:rsidRPr="001523AB" w:rsidRDefault="001523AB" w:rsidP="001523AB">
      <w:pPr>
        <w:jc w:val="center"/>
        <w:rPr>
          <w:sz w:val="28"/>
          <w:szCs w:val="28"/>
        </w:rPr>
      </w:pPr>
      <w:r w:rsidRPr="001523AB">
        <w:rPr>
          <w:b/>
          <w:bCs/>
          <w:sz w:val="28"/>
          <w:szCs w:val="28"/>
        </w:rPr>
        <w:t xml:space="preserve">Центральный банк Российской Федерации (Банк </w:t>
      </w:r>
      <w:proofErr w:type="gramStart"/>
      <w:r w:rsidRPr="001523AB">
        <w:rPr>
          <w:b/>
          <w:bCs/>
          <w:sz w:val="28"/>
          <w:szCs w:val="28"/>
        </w:rPr>
        <w:t>России)</w:t>
      </w:r>
      <w:r w:rsidRPr="001523AB">
        <w:rPr>
          <w:b/>
          <w:bCs/>
          <w:sz w:val="28"/>
          <w:szCs w:val="28"/>
        </w:rPr>
        <w:br/>
        <w:t>Пресс</w:t>
      </w:r>
      <w:proofErr w:type="gramEnd"/>
      <w:r w:rsidRPr="001523AB">
        <w:rPr>
          <w:b/>
          <w:bCs/>
          <w:sz w:val="28"/>
          <w:szCs w:val="28"/>
        </w:rPr>
        <w:t>-служба</w:t>
      </w:r>
    </w:p>
    <w:p w:rsidR="001523AB" w:rsidRPr="001523AB" w:rsidRDefault="001523AB" w:rsidP="001523AB">
      <w:pPr>
        <w:jc w:val="center"/>
      </w:pPr>
      <w:r w:rsidRPr="001523AB">
        <w:t xml:space="preserve">107016, Москва, ул. </w:t>
      </w:r>
      <w:proofErr w:type="spellStart"/>
      <w:r w:rsidRPr="001523AB">
        <w:t>Неглинная</w:t>
      </w:r>
      <w:proofErr w:type="spellEnd"/>
      <w:r w:rsidRPr="001523AB">
        <w:t>, 12</w:t>
      </w:r>
      <w:r w:rsidRPr="001523AB">
        <w:br/>
      </w:r>
      <w:hyperlink r:id="rId4" w:history="1">
        <w:r w:rsidRPr="001523AB">
          <w:rPr>
            <w:rStyle w:val="a3"/>
          </w:rPr>
          <w:t>www.cbr.ru</w:t>
        </w:r>
      </w:hyperlink>
    </w:p>
    <w:p w:rsidR="001523AB" w:rsidRPr="001523AB" w:rsidRDefault="001523AB" w:rsidP="001523AB">
      <w:pPr>
        <w:jc w:val="center"/>
        <w:rPr>
          <w:sz w:val="28"/>
          <w:szCs w:val="28"/>
        </w:rPr>
      </w:pPr>
      <w:r w:rsidRPr="001523AB">
        <w:rPr>
          <w:b/>
          <w:bCs/>
          <w:sz w:val="28"/>
          <w:szCs w:val="28"/>
        </w:rPr>
        <w:t>Информация</w:t>
      </w:r>
    </w:p>
    <w:p w:rsidR="001523AB" w:rsidRPr="001523AB" w:rsidRDefault="001523AB" w:rsidP="001523AB">
      <w:pPr>
        <w:jc w:val="center"/>
        <w:rPr>
          <w:b/>
          <w:bCs/>
          <w:sz w:val="28"/>
          <w:szCs w:val="28"/>
        </w:rPr>
      </w:pPr>
      <w:r w:rsidRPr="001523AB">
        <w:rPr>
          <w:b/>
          <w:bCs/>
          <w:sz w:val="28"/>
          <w:szCs w:val="28"/>
        </w:rPr>
        <w:t>Банк России принял решение снизить ключевую ставку до 9,25% годовых</w:t>
      </w:r>
    </w:p>
    <w:p w:rsidR="001523AB" w:rsidRPr="001523AB" w:rsidRDefault="001523AB" w:rsidP="001523AB">
      <w:pPr>
        <w:jc w:val="both"/>
      </w:pPr>
      <w:r w:rsidRPr="001523AB">
        <w:rPr>
          <w:i/>
          <w:iCs/>
        </w:rPr>
        <w:t xml:space="preserve">Совет директоров Банка России 28 апреля 2017 года принял решение снизить </w:t>
      </w:r>
      <w:hyperlink r:id="rId5" w:history="1">
        <w:r w:rsidRPr="001523AB">
          <w:rPr>
            <w:rStyle w:val="a3"/>
            <w:i/>
            <w:iCs/>
          </w:rPr>
          <w:t>ключевую ставку</w:t>
        </w:r>
      </w:hyperlink>
      <w:r w:rsidRPr="001523AB">
        <w:rPr>
          <w:i/>
          <w:iCs/>
        </w:rPr>
        <w:t xml:space="preserve"> до 9,25% годовых. Совет директоров отмечает приближение инфляции к целевому уровню и продолжающееся снижение инфляционных ожиданий, а также восстановление экономической активности. Вместе с тем инфляционные риски сохраняются. В условиях умеренно жесткой денежно-кредитной политики целевой уровень инфляции 4% будет достигнут до конца 2017 года и будет поддерживаться вблизи указанного уровня в 2018-2019 годах.</w:t>
      </w:r>
    </w:p>
    <w:p w:rsidR="001523AB" w:rsidRPr="001523AB" w:rsidRDefault="001523AB" w:rsidP="001523AB">
      <w:pPr>
        <w:jc w:val="both"/>
      </w:pPr>
      <w:r w:rsidRPr="001523AB">
        <w:rPr>
          <w:i/>
          <w:iCs/>
        </w:rPr>
        <w:t>Принимая решение о ключевой ставке в дальнейшем, Банк России будет оценивать соотношение вероятностей реализации базового сценария (снижение цен на нефть до $40 за баррель) и сценария с ростом цен на нефть, а также дальнейшую динамику инфляции и развитие экономики относительно прогноза. При этом оценка Банком России возможного общего масштаба снижения ключевой ставки до конца 2017 года не изменилась.</w:t>
      </w:r>
    </w:p>
    <w:p w:rsidR="001523AB" w:rsidRPr="001523AB" w:rsidRDefault="001523AB" w:rsidP="001523AB">
      <w:pPr>
        <w:jc w:val="both"/>
      </w:pPr>
      <w:r w:rsidRPr="001523AB">
        <w:t>Принимая решение по ключевой ставке, Совет директоров Банка России исходил из следующего.</w:t>
      </w:r>
    </w:p>
    <w:p w:rsidR="001523AB" w:rsidRPr="001523AB" w:rsidRDefault="001523AB" w:rsidP="001523AB">
      <w:pPr>
        <w:jc w:val="both"/>
      </w:pPr>
      <w:r w:rsidRPr="001523AB">
        <w:rPr>
          <w:b/>
          <w:bCs/>
        </w:rPr>
        <w:t>Динамика инфляции.</w:t>
      </w:r>
      <w:r w:rsidRPr="001523AB">
        <w:t xml:space="preserve"> Годовая инфляция приблизилась к целевому уровню. Темпы роста потребительских цен снизились до 4,3% с 4,6% в феврале. По оценке на 24 апреля, годовая инфляция составила 4,2-4,3%. В марте продолжилось замедление роста цен по всем основным группам товаров и услуг. Существенный вклад в замедление инфляции внесло укрепление рубля на фоне относительно высоких цен на нефть, сохранения интересов внешних инвесторов к вложениям в российские активы, а также снижения </w:t>
      </w:r>
      <w:proofErr w:type="spellStart"/>
      <w:r w:rsidRPr="001523AB">
        <w:t>страновой</w:t>
      </w:r>
      <w:proofErr w:type="spellEnd"/>
      <w:r w:rsidRPr="001523AB">
        <w:t xml:space="preserve"> премии за риск. Показатели месячной инфляции с исключением сезонности в феврале и марте сохранялись на низком уровне. В эти месяцы сложилась нехарактерно низкая для данного времени года продовольственная инфляция, чему способствовал высокий объем предложения, в том числе сформировавшийся в результате хорошего урожая 2015-2016 годов. Вероятно, этот эффект будет исчерпан во II квартале, что подтверждают недельные оценки роста цен в апреле, отражающие его ускорение на плодоовощную продукцию. При этом, по оценке, инфляция остается на траектории снижения к целевому уровню 4% до конца 2017 года.</w:t>
      </w:r>
    </w:p>
    <w:p w:rsidR="001523AB" w:rsidRPr="001523AB" w:rsidRDefault="001523AB" w:rsidP="001523AB">
      <w:pPr>
        <w:jc w:val="both"/>
      </w:pPr>
      <w:r w:rsidRPr="001523AB">
        <w:t>В условиях заметного замедления инфляции в I квартале 2017 года инфляционные ожидания населения и бизнеса существенно снизились. Однако эта тенденция может временно приостановиться на фоне сезонного повышения продовольственной инфляции, к динамике которой чувствительны инфляционные ожидания.</w:t>
      </w:r>
    </w:p>
    <w:p w:rsidR="001523AB" w:rsidRPr="001523AB" w:rsidRDefault="001523AB" w:rsidP="001523AB">
      <w:pPr>
        <w:jc w:val="both"/>
      </w:pPr>
      <w:proofErr w:type="spellStart"/>
      <w:r w:rsidRPr="001523AB">
        <w:t>Дезинфляционное</w:t>
      </w:r>
      <w:proofErr w:type="spellEnd"/>
      <w:r w:rsidRPr="001523AB">
        <w:t xml:space="preserve"> влияние внутреннего спроса сохраняется. Домашние хозяйства в основном продолжают придерживаться сберегательной модели поведения. При этом наметились признаки оживления потребительской активности. Потребительские расходы будут восстанавливаться постепенно в условиях слабой динамики реальных располагаемых доходов населения. Динамика потребительского кредитования не несет инфляционных рисков. </w:t>
      </w:r>
    </w:p>
    <w:p w:rsidR="001523AB" w:rsidRPr="001523AB" w:rsidRDefault="001523AB" w:rsidP="001523AB">
      <w:pPr>
        <w:jc w:val="both"/>
      </w:pPr>
      <w:r w:rsidRPr="001523AB">
        <w:rPr>
          <w:b/>
          <w:bCs/>
        </w:rPr>
        <w:t>Денежно-кредитные условия</w:t>
      </w:r>
      <w:r w:rsidRPr="001523AB">
        <w:t xml:space="preserve">. Для поддержания склонности к сбережениям и тенденции к устойчивому замедлению инфляции под влиянием ограничений со стороны спроса необходимо сохранение умеренно жестких денежно-кредитных условий. Положительные реальные процентные ставки поддерживаются на уровне, который обеспечивает спрос на кредит, не приводящий к повышению инфляционного давления, а также сохраняет стимулы к сбережениям. Постепенное снижение номинальных процентных ставок и </w:t>
      </w:r>
      <w:r w:rsidRPr="001523AB">
        <w:lastRenderedPageBreak/>
        <w:t xml:space="preserve">смягчение неценовых условий банковского кредитования продолжится. В первую очередь это коснется надежных заемщиков, учитывая сохранение консервативной политики банков. </w:t>
      </w:r>
    </w:p>
    <w:p w:rsidR="001523AB" w:rsidRPr="001523AB" w:rsidRDefault="001523AB" w:rsidP="001523AB">
      <w:pPr>
        <w:jc w:val="both"/>
      </w:pPr>
      <w:r w:rsidRPr="001523AB">
        <w:rPr>
          <w:b/>
          <w:bCs/>
        </w:rPr>
        <w:t xml:space="preserve">Экономическая активность. </w:t>
      </w:r>
      <w:r w:rsidRPr="001523AB">
        <w:t xml:space="preserve">По оценкам Банка России, восстановление экономики в I квартале продолжилось, ожидается увеличение инвестиций в основной капитал. Сохраняется положительная динамика промышленного производства, наблюдается снижение безработицы. Рынок труда подстраивается к новым экономическим условиям при появлении признаков дефицита кадров в отдельных сегментах. Восстановительные процессы становятся более однородными по регионам. Данные опросов отражают улучшение настроений бизнеса и домашних хозяйств, что поддержит положительную экономическую динамику. По оценкам Банка России, наблюдающийся годовой рост реальной заработной платы будет способствовать постепенному повышению потребительской активности. Это не создаст дополнительного </w:t>
      </w:r>
      <w:proofErr w:type="spellStart"/>
      <w:r w:rsidRPr="001523AB">
        <w:t>проинфляционного</w:t>
      </w:r>
      <w:proofErr w:type="spellEnd"/>
      <w:r w:rsidRPr="001523AB">
        <w:t xml:space="preserve"> давления в условиях увеличения предложения товаров и услуг. </w:t>
      </w:r>
    </w:p>
    <w:p w:rsidR="001523AB" w:rsidRPr="001523AB" w:rsidRDefault="001523AB" w:rsidP="001523AB">
      <w:pPr>
        <w:jc w:val="both"/>
      </w:pPr>
      <w:r w:rsidRPr="001523AB">
        <w:t xml:space="preserve">С учетом текущей динамики восстановительных процессов и повышения устойчивости экономики к колебаниям внешнеэкономической конъюнктуры Банк России ожидает роста ВВП в 2017-2019 годах даже в условиях консервативного сценария динамики цен на нефть. </w:t>
      </w:r>
    </w:p>
    <w:p w:rsidR="001523AB" w:rsidRPr="001523AB" w:rsidRDefault="001523AB" w:rsidP="001523AB">
      <w:pPr>
        <w:jc w:val="both"/>
      </w:pPr>
      <w:r w:rsidRPr="001523AB">
        <w:rPr>
          <w:b/>
          <w:bCs/>
        </w:rPr>
        <w:t>Инфляционные риски</w:t>
      </w:r>
      <w:r w:rsidRPr="001523AB">
        <w:t>. В ближайшее время основным источником инфляционных рисков может стать возможная волатильность мировых товарных и финансовых рынков в том числе на фоне переговоров об ограничении добычи нефти странами-экспортерами. Это может привести к временному повышению волатильности потоков капитала и валютного курса, оказывая негативное влияние на курсовые и инфляционные ожидания. При этом в сценарии с ростом цен на нефть инфляционные риски будут ниже. Снижению среднесрочных инфляционных рисков также будет способствовать законодательное закрепление бюджетного правила.</w:t>
      </w:r>
    </w:p>
    <w:p w:rsidR="001523AB" w:rsidRPr="001523AB" w:rsidRDefault="001523AB" w:rsidP="001523AB">
      <w:pPr>
        <w:jc w:val="both"/>
      </w:pPr>
      <w:r w:rsidRPr="001523AB">
        <w:t xml:space="preserve">Кроме того, среднесрочные инфляционные риски связаны с тем, что для закрепления инфляции и инфляционных ожиданий вблизи целевого уровня может потребоваться длительное время. Это обусловлено инерцией инфляционных ожиданий, а также возможным изменением модели поведения домашних хозяйств, связанным с уменьшением склонности к сбережению. </w:t>
      </w:r>
    </w:p>
    <w:p w:rsidR="001523AB" w:rsidRPr="001523AB" w:rsidRDefault="001523AB" w:rsidP="001523AB">
      <w:pPr>
        <w:jc w:val="both"/>
      </w:pPr>
      <w:r w:rsidRPr="001523AB">
        <w:t>Принимая решение о ключевой ставке, в дальнейшем Банк России будет оценивать соотношение вероятностей реализации базового сценария (снижение цен на нефть до $40 за баррель) и сценария с ростом цен на нефть, а также дальнейшую динамику инфляции и развитие экономики относительно прогноза. При этом оценка Банком России возможного масштаба снижения ключевой ставки до конца 2017 года не изменилась. По прогнозу Банка России, с учетом принятого решения и сохранения умеренно жесткой денежно-кредитной политики годовой темп прироста потребительских цен снизится до 4% до конца 2017 года и будет поддерживаться вблизи указанного целевого уров</w:t>
      </w:r>
      <w:bookmarkStart w:id="0" w:name="_GoBack"/>
      <w:bookmarkEnd w:id="0"/>
      <w:r w:rsidRPr="001523AB">
        <w:t>ня в 2018-2019 годах.</w:t>
      </w:r>
    </w:p>
    <w:p w:rsidR="001523AB" w:rsidRPr="001523AB" w:rsidRDefault="001523AB" w:rsidP="001523AB">
      <w:pPr>
        <w:jc w:val="both"/>
      </w:pPr>
      <w:r w:rsidRPr="001523AB">
        <w:t xml:space="preserve">Следующее заседание Совета директоров Банка России, на котором будет рассматриваться вопрос об уровне ключевой ставки, запланировано на </w:t>
      </w:r>
      <w:hyperlink r:id="rId6" w:history="1">
        <w:r w:rsidRPr="001523AB">
          <w:rPr>
            <w:rStyle w:val="a3"/>
          </w:rPr>
          <w:t>16 июня 2017 года</w:t>
        </w:r>
      </w:hyperlink>
      <w:r w:rsidRPr="001523AB">
        <w:t>. Время публикации пресс-релиза о решении Совета директоров Банка России — 13:30 по московскому времени.</w:t>
      </w:r>
    </w:p>
    <w:p w:rsidR="001523AB" w:rsidRPr="001523AB" w:rsidRDefault="001523AB" w:rsidP="001523AB">
      <w:pPr>
        <w:rPr>
          <w:b/>
          <w:bCs/>
          <w:sz w:val="28"/>
          <w:szCs w:val="28"/>
        </w:rPr>
      </w:pPr>
      <w:r w:rsidRPr="001523AB">
        <w:rPr>
          <w:b/>
          <w:bCs/>
          <w:sz w:val="28"/>
          <w:szCs w:val="28"/>
        </w:rPr>
        <w:t>Процентные ставки по операциям Банка России</w:t>
      </w:r>
    </w:p>
    <w:p w:rsidR="001523AB" w:rsidRPr="001523AB" w:rsidRDefault="001523AB" w:rsidP="001523AB">
      <w:r w:rsidRPr="001523AB">
        <w:rPr>
          <w:i/>
          <w:iCs/>
        </w:rPr>
        <w:t>(% годовых)</w:t>
      </w:r>
      <w:r w:rsidRPr="001523A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2497"/>
        <w:gridCol w:w="2982"/>
        <w:gridCol w:w="1121"/>
        <w:gridCol w:w="1022"/>
        <w:gridCol w:w="1134"/>
      </w:tblGrid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Назначение</w:t>
            </w:r>
          </w:p>
        </w:tc>
        <w:tc>
          <w:tcPr>
            <w:tcW w:w="2497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Вид инструмента</w:t>
            </w:r>
          </w:p>
        </w:tc>
        <w:tc>
          <w:tcPr>
            <w:tcW w:w="2982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Инструмент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Срок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c 27.03.2017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pPr>
              <w:rPr>
                <w:b/>
                <w:bCs/>
              </w:rPr>
            </w:pPr>
            <w:r w:rsidRPr="001523AB">
              <w:rPr>
                <w:b/>
                <w:bCs/>
              </w:rPr>
              <w:t>c 02.05.2017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 w:val="restart"/>
            <w:vAlign w:val="center"/>
          </w:tcPr>
          <w:p w:rsidR="001523AB" w:rsidRPr="001523AB" w:rsidRDefault="001523AB" w:rsidP="001523AB">
            <w:r w:rsidRPr="001523AB">
              <w:t>Предоставление ликвидности</w:t>
            </w:r>
          </w:p>
        </w:tc>
        <w:tc>
          <w:tcPr>
            <w:tcW w:w="2497" w:type="dxa"/>
            <w:vMerge w:val="restart"/>
            <w:vAlign w:val="center"/>
          </w:tcPr>
          <w:p w:rsidR="001523AB" w:rsidRPr="001523AB" w:rsidRDefault="001523AB" w:rsidP="001523AB">
            <w:r w:rsidRPr="001523AB">
              <w:t xml:space="preserve">Операции постоянного действия </w:t>
            </w:r>
          </w:p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Кредиты «овернайт»; сделки «валютный своп»</w:t>
            </w:r>
            <w:r w:rsidRPr="001523AB">
              <w:rPr>
                <w:vertAlign w:val="superscript"/>
              </w:rPr>
              <w:t>1</w:t>
            </w:r>
            <w:r w:rsidRPr="001523AB">
              <w:t>; ломбардные кредиты; РЕПО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1 день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10,75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10,25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Merge w:val="restart"/>
            <w:vAlign w:val="center"/>
          </w:tcPr>
          <w:p w:rsidR="001523AB" w:rsidRPr="001523AB" w:rsidRDefault="001523AB" w:rsidP="001523AB">
            <w:r w:rsidRPr="001523AB">
              <w:t>Кредиты, обеспеченные золотом</w:t>
            </w:r>
            <w:r w:rsidRPr="001523AB">
              <w:rPr>
                <w:vertAlign w:val="superscript"/>
              </w:rPr>
              <w:t>2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1 день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10,75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10,25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Merge/>
            <w:vAlign w:val="center"/>
          </w:tcPr>
          <w:p w:rsidR="001523AB" w:rsidRPr="001523AB" w:rsidRDefault="001523AB" w:rsidP="001523AB"/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от 2 до 549 дней</w:t>
            </w:r>
            <w:r w:rsidRPr="001523AB">
              <w:rPr>
                <w:vertAlign w:val="superscript"/>
              </w:rPr>
              <w:t>3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11,25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10,75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Merge w:val="restart"/>
            <w:vAlign w:val="center"/>
          </w:tcPr>
          <w:p w:rsidR="001523AB" w:rsidRPr="001523AB" w:rsidRDefault="001523AB" w:rsidP="001523AB">
            <w:r w:rsidRPr="001523AB">
              <w:t>Кредиты, обеспеченные нерыночными активами или поручительствами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1 день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10,75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10,25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Merge/>
            <w:vAlign w:val="center"/>
          </w:tcPr>
          <w:p w:rsidR="001523AB" w:rsidRPr="001523AB" w:rsidRDefault="001523AB" w:rsidP="001523AB"/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от 2 до 549 дней</w:t>
            </w:r>
            <w:r w:rsidRPr="001523AB">
              <w:rPr>
                <w:vertAlign w:val="superscript"/>
              </w:rPr>
              <w:t>3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11,50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11,00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 w:val="restart"/>
            <w:vAlign w:val="center"/>
          </w:tcPr>
          <w:p w:rsidR="001523AB" w:rsidRPr="001523AB" w:rsidRDefault="001523AB" w:rsidP="001523AB">
            <w:r w:rsidRPr="001523AB">
              <w:t>Операции на открытом рынке (минимальные процентные ставки)</w:t>
            </w:r>
          </w:p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Аукционы по предоставлению кредитов, обеспеченных нерыночными активами</w:t>
            </w:r>
            <w:r w:rsidRPr="001523AB">
              <w:rPr>
                <w:vertAlign w:val="superscript"/>
              </w:rPr>
              <w:t>3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3 месяца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10,00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9,50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Аукционы «валютный своп»</w:t>
            </w:r>
            <w:r w:rsidRPr="001523AB">
              <w:rPr>
                <w:vertAlign w:val="superscript"/>
              </w:rPr>
              <w:t>1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от 1 до 2 дней</w:t>
            </w:r>
            <w:r w:rsidRPr="001523AB">
              <w:rPr>
                <w:vertAlign w:val="superscript"/>
              </w:rPr>
              <w:t>4</w:t>
            </w:r>
          </w:p>
        </w:tc>
        <w:tc>
          <w:tcPr>
            <w:tcW w:w="1022" w:type="dxa"/>
            <w:vMerge w:val="restart"/>
            <w:vAlign w:val="center"/>
          </w:tcPr>
          <w:p w:rsidR="001523AB" w:rsidRPr="001523AB" w:rsidRDefault="001523AB" w:rsidP="001523AB">
            <w:r w:rsidRPr="001523AB">
              <w:t>9,75</w:t>
            </w:r>
            <w:r w:rsidRPr="001523AB">
              <w:br/>
              <w:t>(ключевая ставка)</w:t>
            </w:r>
          </w:p>
        </w:tc>
        <w:tc>
          <w:tcPr>
            <w:tcW w:w="1134" w:type="dxa"/>
            <w:vMerge w:val="restart"/>
            <w:vAlign w:val="center"/>
          </w:tcPr>
          <w:p w:rsidR="001523AB" w:rsidRPr="001523AB" w:rsidRDefault="001523AB" w:rsidP="001523AB">
            <w:r w:rsidRPr="001523AB">
              <w:t>9,25</w:t>
            </w:r>
            <w:r w:rsidRPr="001523AB">
              <w:br/>
              <w:t>(ключевая ставка)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Merge/>
            <w:vAlign w:val="center"/>
          </w:tcPr>
          <w:p w:rsidR="001523AB" w:rsidRPr="001523AB" w:rsidRDefault="001523AB" w:rsidP="001523AB"/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Аукционы РЕПО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от 1 до 6 дней</w:t>
            </w:r>
            <w:r w:rsidRPr="001523AB">
              <w:rPr>
                <w:vertAlign w:val="superscript"/>
              </w:rPr>
              <w:t>4</w:t>
            </w:r>
            <w:r w:rsidRPr="001523AB">
              <w:t>, 1 неделя</w:t>
            </w:r>
          </w:p>
        </w:tc>
        <w:tc>
          <w:tcPr>
            <w:tcW w:w="1022" w:type="dxa"/>
            <w:vMerge/>
            <w:vAlign w:val="center"/>
          </w:tcPr>
          <w:p w:rsidR="001523AB" w:rsidRPr="001523AB" w:rsidRDefault="001523AB" w:rsidP="001523AB"/>
        </w:tc>
        <w:tc>
          <w:tcPr>
            <w:tcW w:w="1134" w:type="dxa"/>
            <w:vMerge/>
            <w:vAlign w:val="center"/>
          </w:tcPr>
          <w:p w:rsidR="001523AB" w:rsidRPr="001523AB" w:rsidRDefault="001523AB" w:rsidP="001523AB"/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 w:val="restart"/>
            <w:vAlign w:val="center"/>
          </w:tcPr>
          <w:p w:rsidR="001523AB" w:rsidRPr="001523AB" w:rsidRDefault="001523AB" w:rsidP="001523AB">
            <w:r w:rsidRPr="001523AB">
              <w:t>Абсорбирование ликвидности</w:t>
            </w:r>
          </w:p>
        </w:tc>
        <w:tc>
          <w:tcPr>
            <w:tcW w:w="2497" w:type="dxa"/>
            <w:vAlign w:val="center"/>
          </w:tcPr>
          <w:p w:rsidR="001523AB" w:rsidRPr="001523AB" w:rsidRDefault="001523AB" w:rsidP="001523AB">
            <w:r w:rsidRPr="001523AB">
              <w:t>Операции на открытом рынке (максимальные процентные ставки)</w:t>
            </w:r>
          </w:p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Депозитные аукционы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от 1 до 6 дней</w:t>
            </w:r>
            <w:r w:rsidRPr="001523AB">
              <w:rPr>
                <w:vertAlign w:val="superscript"/>
              </w:rPr>
              <w:t>4</w:t>
            </w:r>
            <w:r w:rsidRPr="001523AB">
              <w:t>, 1 неделя</w:t>
            </w:r>
          </w:p>
        </w:tc>
        <w:tc>
          <w:tcPr>
            <w:tcW w:w="1022" w:type="dxa"/>
            <w:vMerge/>
            <w:vAlign w:val="center"/>
          </w:tcPr>
          <w:p w:rsidR="001523AB" w:rsidRPr="001523AB" w:rsidRDefault="001523AB" w:rsidP="001523AB"/>
        </w:tc>
        <w:tc>
          <w:tcPr>
            <w:tcW w:w="1134" w:type="dxa"/>
            <w:vMerge/>
            <w:vAlign w:val="center"/>
          </w:tcPr>
          <w:p w:rsidR="001523AB" w:rsidRPr="001523AB" w:rsidRDefault="001523AB" w:rsidP="001523AB"/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vMerge/>
            <w:vAlign w:val="center"/>
          </w:tcPr>
          <w:p w:rsidR="001523AB" w:rsidRPr="001523AB" w:rsidRDefault="001523AB" w:rsidP="001523AB"/>
        </w:tc>
        <w:tc>
          <w:tcPr>
            <w:tcW w:w="2497" w:type="dxa"/>
            <w:vAlign w:val="center"/>
          </w:tcPr>
          <w:p w:rsidR="001523AB" w:rsidRPr="001523AB" w:rsidRDefault="001523AB" w:rsidP="001523AB">
            <w:r w:rsidRPr="001523AB">
              <w:t>Операции постоянного действия</w:t>
            </w:r>
          </w:p>
        </w:tc>
        <w:tc>
          <w:tcPr>
            <w:tcW w:w="2982" w:type="dxa"/>
            <w:vAlign w:val="center"/>
          </w:tcPr>
          <w:p w:rsidR="001523AB" w:rsidRPr="001523AB" w:rsidRDefault="001523AB" w:rsidP="001523AB">
            <w:r w:rsidRPr="001523AB">
              <w:t>Депозитные операции</w:t>
            </w:r>
          </w:p>
        </w:tc>
        <w:tc>
          <w:tcPr>
            <w:tcW w:w="1121" w:type="dxa"/>
            <w:vAlign w:val="center"/>
          </w:tcPr>
          <w:p w:rsidR="001523AB" w:rsidRPr="001523AB" w:rsidRDefault="001523AB" w:rsidP="001523AB">
            <w:r w:rsidRPr="001523AB">
              <w:t>1 день, до востребования</w:t>
            </w:r>
          </w:p>
        </w:tc>
        <w:tc>
          <w:tcPr>
            <w:tcW w:w="1022" w:type="dxa"/>
            <w:vAlign w:val="center"/>
          </w:tcPr>
          <w:p w:rsidR="001523AB" w:rsidRPr="001523AB" w:rsidRDefault="001523AB" w:rsidP="001523AB">
            <w:r w:rsidRPr="001523AB">
              <w:t>8,75</w:t>
            </w:r>
          </w:p>
        </w:tc>
        <w:tc>
          <w:tcPr>
            <w:tcW w:w="1134" w:type="dxa"/>
            <w:vAlign w:val="center"/>
          </w:tcPr>
          <w:p w:rsidR="001523AB" w:rsidRPr="001523AB" w:rsidRDefault="001523AB" w:rsidP="001523AB">
            <w:r w:rsidRPr="001523AB">
              <w:t>8,25</w:t>
            </w:r>
          </w:p>
        </w:tc>
      </w:tr>
      <w:tr w:rsidR="001523AB" w:rsidRPr="001523AB" w:rsidT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69" w:type="dxa"/>
            <w:gridSpan w:val="6"/>
            <w:vAlign w:val="center"/>
          </w:tcPr>
          <w:p w:rsidR="001523AB" w:rsidRPr="001523AB" w:rsidRDefault="001523AB" w:rsidP="001523AB">
            <w:proofErr w:type="spellStart"/>
            <w:r w:rsidRPr="001523AB">
              <w:t>Справочно</w:t>
            </w:r>
            <w:proofErr w:type="spellEnd"/>
            <w:r w:rsidRPr="001523AB">
              <w:t xml:space="preserve">: </w:t>
            </w:r>
            <w:hyperlink r:id="rId7" w:history="1">
              <w:r w:rsidRPr="001523AB">
                <w:rPr>
                  <w:rStyle w:val="a3"/>
                </w:rPr>
                <w:t>Ставка рефинансирования</w:t>
              </w:r>
            </w:hyperlink>
            <w:r w:rsidRPr="001523AB">
              <w:rPr>
                <w:vertAlign w:val="superscript"/>
              </w:rPr>
              <w:t>5</w:t>
            </w:r>
          </w:p>
        </w:tc>
      </w:tr>
    </w:tbl>
    <w:p w:rsidR="001523AB" w:rsidRPr="001523AB" w:rsidRDefault="001523AB" w:rsidP="001523A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/>
        </w:tc>
      </w:tr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>
            <w:r w:rsidRPr="001523AB">
              <w:rPr>
                <w:i/>
                <w:iCs/>
                <w:vertAlign w:val="superscript"/>
              </w:rPr>
              <w:t>1</w:t>
            </w:r>
            <w:r w:rsidRPr="001523AB">
              <w:rPr>
                <w:i/>
                <w:iCs/>
              </w:rPr>
              <w:t xml:space="preserve"> Указана процентная ставка по рублевой части; процентная ставка по валютной части приравнена к процентным ставкам LIBOR по кредитам на срок 1 день в соответствующих иностранных валютах.</w:t>
            </w:r>
          </w:p>
        </w:tc>
      </w:tr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>
            <w:r w:rsidRPr="001523AB">
              <w:rPr>
                <w:i/>
                <w:iCs/>
                <w:vertAlign w:val="superscript"/>
              </w:rPr>
              <w:t>2</w:t>
            </w:r>
            <w:r w:rsidRPr="001523AB">
              <w:rPr>
                <w:i/>
                <w:iCs/>
              </w:rPr>
              <w:t xml:space="preserve"> Проведение операций приостановлено с 1.04.2017.</w:t>
            </w:r>
          </w:p>
        </w:tc>
      </w:tr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>
            <w:r w:rsidRPr="001523AB">
              <w:rPr>
                <w:i/>
                <w:iCs/>
                <w:vertAlign w:val="superscript"/>
              </w:rPr>
              <w:t>3</w:t>
            </w:r>
            <w:r w:rsidRPr="001523AB">
              <w:rPr>
                <w:i/>
                <w:iCs/>
              </w:rPr>
              <w:t xml:space="preserve"> Кредиты, предоставляемые по плавающей процентной ставке, привязанной к уровню ключевой ставки Банка России.</w:t>
            </w:r>
          </w:p>
        </w:tc>
      </w:tr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>
            <w:r w:rsidRPr="001523AB">
              <w:rPr>
                <w:i/>
                <w:iCs/>
                <w:vertAlign w:val="superscript"/>
              </w:rPr>
              <w:t>4</w:t>
            </w:r>
            <w:r w:rsidRPr="001523AB">
              <w:rPr>
                <w:i/>
                <w:iCs/>
              </w:rPr>
              <w:t xml:space="preserve"> Операции «тонкой настройки».</w:t>
            </w:r>
          </w:p>
        </w:tc>
      </w:tr>
      <w:tr w:rsidR="001523AB" w:rsidRPr="0015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3AB" w:rsidRPr="001523AB" w:rsidRDefault="001523AB" w:rsidP="001523AB">
            <w:r w:rsidRPr="001523AB">
              <w:rPr>
                <w:i/>
                <w:iCs/>
                <w:vertAlign w:val="superscript"/>
              </w:rPr>
              <w:t xml:space="preserve">5 </w:t>
            </w:r>
            <w:r w:rsidRPr="001523AB">
              <w:rPr>
                <w:i/>
                <w:iCs/>
              </w:rPr>
              <w:t xml:space="preserve">Значение ставки рефинансирования Банка России с 01.01.2016 года </w:t>
            </w:r>
            <w:hyperlink r:id="rId8" w:history="1">
              <w:r w:rsidRPr="001523AB">
                <w:rPr>
                  <w:rStyle w:val="a3"/>
                  <w:i/>
                  <w:iCs/>
                </w:rPr>
                <w:t>приравнено</w:t>
              </w:r>
            </w:hyperlink>
            <w:r w:rsidRPr="001523AB">
              <w:rPr>
                <w:u w:val="single"/>
              </w:rPr>
              <w:t xml:space="preserve"> </w:t>
            </w:r>
            <w:r w:rsidRPr="001523AB">
              <w:rPr>
                <w:i/>
                <w:iCs/>
              </w:rPr>
              <w:t>к значению ключевой ставки Банка России на соответствующую дату. С 01.01.2016 самостоятельное значение ставки рефинансирования не устанавливается.</w:t>
            </w:r>
            <w:r w:rsidRPr="001523AB">
              <w:rPr>
                <w:i/>
                <w:iCs/>
              </w:rPr>
              <w:br/>
            </w:r>
            <w:hyperlink r:id="rId9" w:history="1">
              <w:r w:rsidRPr="001523AB">
                <w:rPr>
                  <w:rStyle w:val="a3"/>
                  <w:i/>
                  <w:iCs/>
                </w:rPr>
                <w:t>Значения ставки рефинансирования до 01.01.2016</w:t>
              </w:r>
            </w:hyperlink>
            <w:r w:rsidRPr="001523AB">
              <w:rPr>
                <w:i/>
                <w:iCs/>
              </w:rPr>
              <w:t xml:space="preserve"> </w:t>
            </w:r>
          </w:p>
        </w:tc>
      </w:tr>
    </w:tbl>
    <w:p w:rsidR="001523AB" w:rsidRPr="001523AB" w:rsidRDefault="001523AB" w:rsidP="001523AB">
      <w:r w:rsidRPr="001523AB">
        <w:rPr>
          <w:i/>
          <w:iCs/>
        </w:rPr>
        <w:t xml:space="preserve">28 апреля 2017 года </w:t>
      </w:r>
    </w:p>
    <w:p w:rsidR="001523AB" w:rsidRPr="001523AB" w:rsidRDefault="001523AB" w:rsidP="001523AB">
      <w:r w:rsidRPr="001523AB">
        <w:rPr>
          <w:i/>
          <w:iCs/>
        </w:rPr>
        <w:t xml:space="preserve">При использовании материала ссылка на Пресс-службу Банка России обязательна. </w:t>
      </w:r>
    </w:p>
    <w:p w:rsidR="00D62524" w:rsidRDefault="00D62524"/>
    <w:sectPr w:rsidR="00D62524" w:rsidSect="001523AB">
      <w:pgSz w:w="11906" w:h="16838"/>
      <w:pgMar w:top="993" w:right="707" w:bottom="1134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BF"/>
    <w:rsid w:val="001523AB"/>
    <w:rsid w:val="005E4ABF"/>
    <w:rsid w:val="00D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60AC-CFF2-4F23-9CD8-9EBB567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3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DKP/standart_system/3894-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pw.aspx?file=/statistics/credit_statistics/refinancing_rat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DKP/?PrtId=cal_mp" TargetMode="External"/><Relationship Id="rId11" Type="http://schemas.openxmlformats.org/officeDocument/2006/relationships/theme" Target="theme/theme1.xml"/><Relationship Id="rId5" Type="http://schemas.openxmlformats.org/officeDocument/2006/relationships/hyperlink" Target="/DKP/print.aspx?file=standart_system/rates_table_17.htm&amp;pid=dkp&amp;sid=ITM_499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br.ru" TargetMode="External"/><Relationship Id="rId9" Type="http://schemas.openxmlformats.org/officeDocument/2006/relationships/hyperlink" Target="/pw.aspx?file=/statistics/credit_statistics/refinancing_rat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2017-05-02T06:39:00Z</cp:lastPrinted>
  <dcterms:created xsi:type="dcterms:W3CDTF">2017-05-02T06:36:00Z</dcterms:created>
  <dcterms:modified xsi:type="dcterms:W3CDTF">2017-05-02T06:39:00Z</dcterms:modified>
</cp:coreProperties>
</file>