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2B" w:rsidRPr="0081482B" w:rsidRDefault="0081482B" w:rsidP="008148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</w:pPr>
      <w:r w:rsidRPr="0081482B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>Пресс-служба Банка России</w:t>
      </w:r>
    </w:p>
    <w:p w:rsidR="0081482B" w:rsidRPr="0081482B" w:rsidRDefault="0081482B" w:rsidP="0081482B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1482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1482B" w:rsidRPr="0081482B" w:rsidRDefault="0081482B" w:rsidP="0081482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82B">
        <w:rPr>
          <w:rFonts w:ascii="Arial" w:eastAsia="Times New Roman" w:hAnsi="Arial" w:cs="Arial"/>
          <w:color w:val="000000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3" type="#_x0000_t75" style="width:1in;height:18pt" o:ole="">
            <v:imagedata r:id="rId5" o:title=""/>
          </v:shape>
          <w:control r:id="rId6" w:name="DefaultOcxName" w:shapeid="_x0000_i1083"/>
        </w:object>
      </w:r>
    </w:p>
    <w:p w:rsidR="0081482B" w:rsidRPr="0081482B" w:rsidRDefault="0081482B" w:rsidP="008148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482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Центральный банк Российской Федерации (Банк </w:t>
      </w:r>
      <w:proofErr w:type="gramStart"/>
      <w:r w:rsidRPr="0081482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России)</w:t>
      </w:r>
      <w:r w:rsidRPr="0081482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/>
        <w:t>Пресс</w:t>
      </w:r>
      <w:proofErr w:type="gramEnd"/>
      <w:r w:rsidRPr="0081482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-служба</w:t>
      </w:r>
      <w:r w:rsidRPr="0081482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81482B" w:rsidRPr="0081482B" w:rsidRDefault="0081482B" w:rsidP="008148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482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107016, Москва, ул. </w:t>
      </w:r>
      <w:proofErr w:type="spellStart"/>
      <w:r w:rsidRPr="0081482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Неглинная</w:t>
      </w:r>
      <w:proofErr w:type="spellEnd"/>
      <w:r w:rsidRPr="0081482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12</w:t>
      </w:r>
      <w:r w:rsidRPr="0081482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hyperlink r:id="rId7" w:history="1">
        <w:r w:rsidRPr="0081482B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www.cbr.ru</w:t>
        </w:r>
      </w:hyperlink>
    </w:p>
    <w:p w:rsidR="0081482B" w:rsidRPr="0081482B" w:rsidRDefault="0081482B" w:rsidP="008148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482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Информация</w:t>
      </w:r>
    </w:p>
    <w:p w:rsidR="0081482B" w:rsidRPr="0081482B" w:rsidRDefault="0081482B" w:rsidP="0081482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lang w:eastAsia="ru-RU"/>
        </w:rPr>
      </w:pPr>
      <w:r w:rsidRPr="0081482B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 xml:space="preserve">Банк России принял решение снизить ключевую ставку до 10,00% годовых </w:t>
      </w:r>
    </w:p>
    <w:p w:rsidR="0081482B" w:rsidRPr="0081482B" w:rsidRDefault="0081482B" w:rsidP="0081482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482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Совет директоров Банка России 16 сентября 2016 года принял решение снизить </w:t>
      </w:r>
      <w:hyperlink r:id="rId8" w:tgtFrame="_blank" w:history="1">
        <w:r w:rsidRPr="0081482B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eastAsia="ru-RU"/>
          </w:rPr>
          <w:t>ключевую ставку</w:t>
        </w:r>
      </w:hyperlink>
      <w:r w:rsidRPr="0081482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до 10,00% годовых, учитывая замедление инфляции в соответствии с прогнозом и снижение инфляционных ожиданий при сохранении неустойчивой экономической активности. Вместе с тем для закрепления тенденции к устойчивому снижению инфляции, по оценкам Банка России, необходимо поддержание достигнутого уровня ключевой ставки до конца 2016 года с возможностью ее снижения в I</w:t>
      </w:r>
      <w:r w:rsidRPr="0081482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81482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II квартале 2017 года. С учетом принятого решения и сохранения умеренно жесткой денежно-кредитной политики годовой темп прироста потребительских цен составит около 4,5% в сентябре 2017 года и в дальнейшем снизится до целевого уровня 4% в конце 2017 года. При принятии решения о ключевой ставке в ближайшие месяцы Банк России будет оценивать инфляционные риски и соответствие динамики экономики и инфляции базовому прогнозу.</w:t>
      </w:r>
    </w:p>
    <w:p w:rsidR="0081482B" w:rsidRPr="0081482B" w:rsidRDefault="0081482B" w:rsidP="0081482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482B">
        <w:rPr>
          <w:rFonts w:ascii="Times New Roman" w:eastAsia="Times New Roman" w:hAnsi="Times New Roman" w:cs="Times New Roman"/>
          <w:color w:val="000000"/>
          <w:lang w:eastAsia="ru-RU"/>
        </w:rPr>
        <w:t>Принимая решение по ключевой ставке, Совет директоров Банка России исходил из следующего.</w:t>
      </w:r>
    </w:p>
    <w:p w:rsidR="0081482B" w:rsidRPr="0081482B" w:rsidRDefault="0081482B" w:rsidP="0081482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482B">
        <w:rPr>
          <w:rFonts w:ascii="Times New Roman" w:eastAsia="Times New Roman" w:hAnsi="Times New Roman" w:cs="Times New Roman"/>
          <w:color w:val="000000"/>
          <w:lang w:eastAsia="ru-RU"/>
        </w:rPr>
        <w:t xml:space="preserve">Первое. Инфляция заметно снизилась, что соответствует базовому прогнозу Банка России. По оценке, годовой темп прироста потребительских цен сократился до 6,6% по состоянию на 12 сентября 2016 года после 7,2% в июле. Однако снижение инфляции, в частности, было обусловлено динамикой курса рубля в условиях более благоприятной, чем ожидалось ранее, внешнеэкономической конъюнктуры. Наблюдающееся в этих условиях медленное снижение темпов роста цен на непродовольственные товары является признаком ослабления </w:t>
      </w:r>
      <w:proofErr w:type="spellStart"/>
      <w:r w:rsidRPr="0081482B">
        <w:rPr>
          <w:rFonts w:ascii="Times New Roman" w:eastAsia="Times New Roman" w:hAnsi="Times New Roman" w:cs="Times New Roman"/>
          <w:color w:val="000000"/>
          <w:lang w:eastAsia="ru-RU"/>
        </w:rPr>
        <w:t>дезинфляционного</w:t>
      </w:r>
      <w:proofErr w:type="spellEnd"/>
      <w:r w:rsidRPr="0081482B">
        <w:rPr>
          <w:rFonts w:ascii="Times New Roman" w:eastAsia="Times New Roman" w:hAnsi="Times New Roman" w:cs="Times New Roman"/>
          <w:color w:val="000000"/>
          <w:lang w:eastAsia="ru-RU"/>
        </w:rPr>
        <w:t xml:space="preserve"> влияния внутреннего спроса. В последние месяцы сезонно сглаженные показатели месячных темпов прироста потребительских цен остаются повышенными. Сохранение ключевой ставки на уровне 10,00% в течение достаточно продолжительного времени сформирует денежно-кредитные условия, необходимые для закрепления тенденции к дальнейшему устойчивому замедлению инфляции под влиянием ограничений со стороны спроса. Снижению темпов роста потребительских цен будет также способствовать стабилизация рубля и ожидаемый хороший урожай. Это создаст условия для дальнейшего снижения инфляционных ожиданий. С учетом принятого решения и сохранения умеренно жесткой денежно-кредитной политики, по прогнозу Банка России, годовая инфляция составит около 4,5% в сентябре 2017 года и в дальнейшем снизится до целевого уровня 4% в конце 2017 года.</w:t>
      </w:r>
    </w:p>
    <w:p w:rsidR="0081482B" w:rsidRPr="0081482B" w:rsidRDefault="0081482B" w:rsidP="0081482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482B">
        <w:rPr>
          <w:rFonts w:ascii="Times New Roman" w:eastAsia="Times New Roman" w:hAnsi="Times New Roman" w:cs="Times New Roman"/>
          <w:color w:val="000000"/>
          <w:lang w:eastAsia="ru-RU"/>
        </w:rPr>
        <w:t>Второе. Банк России рассчитывает, что принятое решение по ключевой ставке и ее поддержание на достигнутом уровне снизит инфляционные ожидания. В настоящее время структура рыночных процентных ставок по срокам до погашения и результаты опросов показывают, что участники рынка прогнозируют более быстрое снижение процентных ставок, чем Банк России. При этом их прогнозы по инфляции на конец 2017 года превышают целевой показатель Банка России в 4%. В действительности потенциал снижения номинальных ставок ограничен, и умеренно жесткие денежно-кредитные условия будут сохраняться в экономике достаточно длительное время. Это обусловлено необходимостью поддержания положительных реальных процентных ставок на уровне, который обеспечит спрос на кредит, не приводящий к повышению инфляционного давления, а также сохранит стимулы к сбережениям.</w:t>
      </w:r>
    </w:p>
    <w:p w:rsidR="0081482B" w:rsidRPr="0081482B" w:rsidRDefault="0081482B" w:rsidP="0081482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482B">
        <w:rPr>
          <w:rFonts w:ascii="Times New Roman" w:eastAsia="Times New Roman" w:hAnsi="Times New Roman" w:cs="Times New Roman"/>
          <w:color w:val="000000"/>
          <w:lang w:eastAsia="ru-RU"/>
        </w:rPr>
        <w:t xml:space="preserve">Третье. Продолжающееся оживление производственной активности остается неустойчивым. Сохраняется её неоднородность по отраслям и регионам. По оценке Банка России, умеренно жесткие денежно-кредитные условия не препятствуют восстановлению экономической активности, и основные препятствия лежат в структурной области. Рынок труда подстраивается к новым экономическим условиям, безработица сохраняется на стабильном невысоком уровне. Продолжается развитие процессов </w:t>
      </w:r>
      <w:proofErr w:type="spellStart"/>
      <w:r w:rsidRPr="0081482B">
        <w:rPr>
          <w:rFonts w:ascii="Times New Roman" w:eastAsia="Times New Roman" w:hAnsi="Times New Roman" w:cs="Times New Roman"/>
          <w:color w:val="000000"/>
          <w:lang w:eastAsia="ru-RU"/>
        </w:rPr>
        <w:t>импортозамещения</w:t>
      </w:r>
      <w:proofErr w:type="spellEnd"/>
      <w:r w:rsidRPr="0081482B">
        <w:rPr>
          <w:rFonts w:ascii="Times New Roman" w:eastAsia="Times New Roman" w:hAnsi="Times New Roman" w:cs="Times New Roman"/>
          <w:color w:val="000000"/>
          <w:lang w:eastAsia="ru-RU"/>
        </w:rPr>
        <w:t xml:space="preserve">, а также расширения </w:t>
      </w:r>
      <w:proofErr w:type="spellStart"/>
      <w:r w:rsidRPr="0081482B">
        <w:rPr>
          <w:rFonts w:ascii="Times New Roman" w:eastAsia="Times New Roman" w:hAnsi="Times New Roman" w:cs="Times New Roman"/>
          <w:color w:val="000000"/>
          <w:lang w:eastAsia="ru-RU"/>
        </w:rPr>
        <w:t>несырьевого</w:t>
      </w:r>
      <w:proofErr w:type="spellEnd"/>
      <w:r w:rsidRPr="0081482B">
        <w:rPr>
          <w:rFonts w:ascii="Times New Roman" w:eastAsia="Times New Roman" w:hAnsi="Times New Roman" w:cs="Times New Roman"/>
          <w:color w:val="000000"/>
          <w:lang w:eastAsia="ru-RU"/>
        </w:rPr>
        <w:t xml:space="preserve"> экспорта по некоторым позициям, наметились дополнительные точки роста в промышленности, в том числе в высокотехнологичных производствах. В то же время они пока не могут обеспечить уверенную положительную динамику производства в целом. Одновременно наблюдается стагнация или замедление темпов роста выпуска в отдельных отраслях, продолжают сокращаться инвестиции. Для развития и закрепления позитивных тенденций необходимо время. Положительный квартальный прирост ВВП ожидается уже во втором полугодии текущего года, однако в 2017 году темпы прироста ВВП будут невысокими — менее 1%. Данный прогноз исходит из консервативных предпосылок о низких темпах роста мировой экономики, среднегодовой цены на нефть около 40 долларов США за баррель и сохранении структурных ограничений развития российской экономики.</w:t>
      </w:r>
    </w:p>
    <w:p w:rsidR="0081482B" w:rsidRPr="0081482B" w:rsidRDefault="0081482B" w:rsidP="0081482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482B">
        <w:rPr>
          <w:rFonts w:ascii="Times New Roman" w:eastAsia="Times New Roman" w:hAnsi="Times New Roman" w:cs="Times New Roman"/>
          <w:color w:val="000000"/>
          <w:lang w:eastAsia="ru-RU"/>
        </w:rPr>
        <w:t>Четвертое. Сохраняются риски того, что инфляция не достигнет целевого уровня 4% в 2017 году. Это связано главным образом с инерцией инфляционных ожиданий и возможным ослаблением стимулов домашних хозяйств к сбережениям. Пока не достигнута определённость в отношении конкретных мер бюджетной консолидации, в том числе индексации зарплат и социальных выплат, на среднесрочном горизонте. Негативное влияние на курсовые и инфляционные ожидания может оказывать и волатильность мировых товарных и финансовых рынков.</w:t>
      </w:r>
    </w:p>
    <w:p w:rsidR="0081482B" w:rsidRPr="0081482B" w:rsidRDefault="0081482B" w:rsidP="0081482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482B">
        <w:rPr>
          <w:rFonts w:ascii="Times New Roman" w:eastAsia="Times New Roman" w:hAnsi="Times New Roman" w:cs="Times New Roman"/>
          <w:color w:val="000000"/>
          <w:lang w:eastAsia="ru-RU"/>
        </w:rPr>
        <w:t>Для закрепления тенденции к устойчивому снижению инфляции, по оценкам Банка России, необходимо поддержание достигнутого уровня ключевой ставки до конца 2016 года с возможностью ее снижения в I-II квартале 2017 года. При принятии решения о ключевой ставке в ближайшие месяцы Банк России будет оценивать инфляционные риски и соответствие динамики экономики и инфляции базовому прогнозу.</w:t>
      </w:r>
    </w:p>
    <w:p w:rsidR="0081482B" w:rsidRPr="0081482B" w:rsidRDefault="0081482B" w:rsidP="0081482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1482B">
        <w:rPr>
          <w:rFonts w:ascii="Times New Roman" w:eastAsia="Times New Roman" w:hAnsi="Times New Roman" w:cs="Times New Roman"/>
          <w:color w:val="000000"/>
          <w:lang w:eastAsia="ru-RU"/>
        </w:rPr>
        <w:t>Следующее заседание Совета директоров Банка России, на котором будет рассматриваться вопрос об уровне ключевой ставки, запланировано на </w:t>
      </w:r>
      <w:hyperlink r:id="rId9" w:tgtFrame="_blank" w:history="1">
        <w:r w:rsidRPr="0081482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28 октября 2016 года</w:t>
        </w:r>
      </w:hyperlink>
      <w:r w:rsidRPr="0081482B">
        <w:rPr>
          <w:rFonts w:ascii="Times New Roman" w:eastAsia="Times New Roman" w:hAnsi="Times New Roman" w:cs="Times New Roman"/>
          <w:color w:val="000000"/>
          <w:lang w:eastAsia="ru-RU"/>
        </w:rPr>
        <w:t>. Время публикации пресс-релиза о решении Совета директоров Банка России — 13:30 по московскому времени.</w:t>
      </w:r>
    </w:p>
    <w:p w:rsidR="0081482B" w:rsidRPr="0081482B" w:rsidRDefault="0081482B" w:rsidP="0081482B">
      <w:pPr>
        <w:spacing w:after="0" w:line="240" w:lineRule="auto"/>
        <w:outlineLvl w:val="2"/>
        <w:rPr>
          <w:rFonts w:ascii="Georgia" w:eastAsia="Times New Roman" w:hAnsi="Georgia" w:cs="Arial"/>
          <w:color w:val="000000"/>
          <w:sz w:val="40"/>
          <w:szCs w:val="40"/>
          <w:lang w:eastAsia="ru-RU"/>
        </w:rPr>
      </w:pPr>
      <w:r w:rsidRPr="0081482B">
        <w:rPr>
          <w:rFonts w:ascii="Georgia" w:eastAsia="Times New Roman" w:hAnsi="Georgia" w:cs="Arial"/>
          <w:color w:val="000000"/>
          <w:sz w:val="40"/>
          <w:szCs w:val="40"/>
          <w:lang w:eastAsia="ru-RU"/>
        </w:rPr>
        <w:t>Процентные ставки по операциям Банка России</w:t>
      </w:r>
    </w:p>
    <w:p w:rsidR="0081482B" w:rsidRPr="0081482B" w:rsidRDefault="0081482B" w:rsidP="0081482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482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(% годовых)</w:t>
      </w:r>
    </w:p>
    <w:tbl>
      <w:tblPr>
        <w:tblW w:w="5084" w:type="pct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1526"/>
        <w:gridCol w:w="1728"/>
        <w:gridCol w:w="2615"/>
        <w:gridCol w:w="1360"/>
        <w:gridCol w:w="1417"/>
      </w:tblGrid>
      <w:tr w:rsidR="0081482B" w:rsidRPr="0081482B" w:rsidTr="0081482B">
        <w:trPr>
          <w:trHeight w:val="525"/>
        </w:trPr>
        <w:tc>
          <w:tcPr>
            <w:tcW w:w="1864" w:type="dxa"/>
            <w:tcMar>
              <w:top w:w="156" w:type="dxa"/>
              <w:left w:w="182" w:type="dxa"/>
              <w:bottom w:w="156" w:type="dxa"/>
              <w:right w:w="182" w:type="dxa"/>
            </w:tcMar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81482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Назначение</w:t>
            </w:r>
          </w:p>
        </w:tc>
        <w:tc>
          <w:tcPr>
            <w:tcW w:w="1526" w:type="dxa"/>
            <w:noWrap/>
            <w:tcMar>
              <w:top w:w="156" w:type="dxa"/>
              <w:left w:w="182" w:type="dxa"/>
              <w:bottom w:w="156" w:type="dxa"/>
              <w:right w:w="182" w:type="dxa"/>
            </w:tcMar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81482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Вид инструмента</w:t>
            </w:r>
          </w:p>
        </w:tc>
        <w:tc>
          <w:tcPr>
            <w:tcW w:w="1728" w:type="dxa"/>
            <w:tcMar>
              <w:top w:w="156" w:type="dxa"/>
              <w:left w:w="182" w:type="dxa"/>
              <w:bottom w:w="156" w:type="dxa"/>
              <w:right w:w="182" w:type="dxa"/>
            </w:tcMar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81482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Инструмент</w:t>
            </w:r>
          </w:p>
        </w:tc>
        <w:tc>
          <w:tcPr>
            <w:tcW w:w="2615" w:type="dxa"/>
            <w:noWrap/>
            <w:tcMar>
              <w:top w:w="156" w:type="dxa"/>
              <w:left w:w="182" w:type="dxa"/>
              <w:bottom w:w="156" w:type="dxa"/>
              <w:right w:w="182" w:type="dxa"/>
            </w:tcMar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81482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Срок</w:t>
            </w:r>
          </w:p>
        </w:tc>
        <w:tc>
          <w:tcPr>
            <w:tcW w:w="1360" w:type="dxa"/>
            <w:tcMar>
              <w:top w:w="156" w:type="dxa"/>
              <w:left w:w="182" w:type="dxa"/>
              <w:bottom w:w="156" w:type="dxa"/>
              <w:right w:w="182" w:type="dxa"/>
            </w:tcMar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81482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c 14.06.2016</w:t>
            </w:r>
          </w:p>
        </w:tc>
        <w:tc>
          <w:tcPr>
            <w:tcW w:w="1417" w:type="dxa"/>
            <w:tcMar>
              <w:top w:w="156" w:type="dxa"/>
              <w:left w:w="182" w:type="dxa"/>
              <w:bottom w:w="156" w:type="dxa"/>
              <w:right w:w="182" w:type="dxa"/>
            </w:tcMar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81482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c 19.09.2016</w:t>
            </w:r>
          </w:p>
        </w:tc>
      </w:tr>
      <w:tr w:rsidR="0081482B" w:rsidRPr="0081482B" w:rsidTr="0081482B">
        <w:tc>
          <w:tcPr>
            <w:tcW w:w="1864" w:type="dxa"/>
            <w:vMerge w:val="restart"/>
            <w:tcMar>
              <w:top w:w="144" w:type="dxa"/>
              <w:left w:w="168" w:type="dxa"/>
              <w:bottom w:w="144" w:type="dxa"/>
              <w:right w:w="168" w:type="dxa"/>
            </w:tcMar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148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Предоставление ликвидности</w:t>
            </w:r>
          </w:p>
        </w:tc>
        <w:tc>
          <w:tcPr>
            <w:tcW w:w="1526" w:type="dxa"/>
            <w:vMerge w:val="restart"/>
            <w:tcMar>
              <w:top w:w="144" w:type="dxa"/>
              <w:left w:w="168" w:type="dxa"/>
              <w:bottom w:w="144" w:type="dxa"/>
              <w:right w:w="168" w:type="dxa"/>
            </w:tcMar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148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Операции постоянного действия </w:t>
            </w:r>
          </w:p>
        </w:tc>
        <w:tc>
          <w:tcPr>
            <w:tcW w:w="1728" w:type="dxa"/>
            <w:tcMar>
              <w:top w:w="144" w:type="dxa"/>
              <w:left w:w="168" w:type="dxa"/>
              <w:bottom w:w="144" w:type="dxa"/>
              <w:right w:w="168" w:type="dxa"/>
            </w:tcMar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148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Кредиты «овернайт»; сделки «валютный своп» (рублевая часть); ломбардные кредиты; РЕПО</w:t>
            </w:r>
          </w:p>
        </w:tc>
        <w:tc>
          <w:tcPr>
            <w:tcW w:w="2615" w:type="dxa"/>
            <w:noWrap/>
            <w:tcMar>
              <w:top w:w="144" w:type="dxa"/>
              <w:left w:w="168" w:type="dxa"/>
              <w:bottom w:w="144" w:type="dxa"/>
              <w:right w:w="168" w:type="dxa"/>
            </w:tcMar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148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 день</w:t>
            </w:r>
          </w:p>
        </w:tc>
        <w:tc>
          <w:tcPr>
            <w:tcW w:w="1360" w:type="dxa"/>
            <w:tcMar>
              <w:top w:w="144" w:type="dxa"/>
              <w:left w:w="168" w:type="dxa"/>
              <w:bottom w:w="144" w:type="dxa"/>
              <w:right w:w="168" w:type="dxa"/>
            </w:tcMar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148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11.50</w:t>
            </w:r>
          </w:p>
        </w:tc>
        <w:tc>
          <w:tcPr>
            <w:tcW w:w="1417" w:type="dxa"/>
            <w:tcMar>
              <w:top w:w="144" w:type="dxa"/>
              <w:left w:w="168" w:type="dxa"/>
              <w:bottom w:w="144" w:type="dxa"/>
              <w:right w:w="168" w:type="dxa"/>
            </w:tcMar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148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11.00</w:t>
            </w:r>
          </w:p>
        </w:tc>
      </w:tr>
      <w:tr w:rsidR="0081482B" w:rsidRPr="0081482B" w:rsidTr="0081482B">
        <w:tc>
          <w:tcPr>
            <w:tcW w:w="1864" w:type="dxa"/>
            <w:vMerge/>
            <w:vAlign w:val="center"/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28" w:type="dxa"/>
            <w:vMerge w:val="restart"/>
            <w:tcMar>
              <w:top w:w="144" w:type="dxa"/>
              <w:left w:w="168" w:type="dxa"/>
              <w:bottom w:w="144" w:type="dxa"/>
              <w:right w:w="168" w:type="dxa"/>
            </w:tcMar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148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Кредиты, обеспеченные золотом</w:t>
            </w:r>
          </w:p>
        </w:tc>
        <w:tc>
          <w:tcPr>
            <w:tcW w:w="2615" w:type="dxa"/>
            <w:noWrap/>
            <w:tcMar>
              <w:top w:w="144" w:type="dxa"/>
              <w:left w:w="168" w:type="dxa"/>
              <w:bottom w:w="144" w:type="dxa"/>
              <w:right w:w="168" w:type="dxa"/>
            </w:tcMar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148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 день</w:t>
            </w:r>
          </w:p>
        </w:tc>
        <w:tc>
          <w:tcPr>
            <w:tcW w:w="1360" w:type="dxa"/>
            <w:tcMar>
              <w:top w:w="144" w:type="dxa"/>
              <w:left w:w="168" w:type="dxa"/>
              <w:bottom w:w="144" w:type="dxa"/>
              <w:right w:w="168" w:type="dxa"/>
            </w:tcMar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148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11.50</w:t>
            </w:r>
          </w:p>
        </w:tc>
        <w:tc>
          <w:tcPr>
            <w:tcW w:w="1417" w:type="dxa"/>
            <w:tcMar>
              <w:top w:w="144" w:type="dxa"/>
              <w:left w:w="168" w:type="dxa"/>
              <w:bottom w:w="144" w:type="dxa"/>
              <w:right w:w="168" w:type="dxa"/>
            </w:tcMar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148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11.00</w:t>
            </w:r>
          </w:p>
        </w:tc>
      </w:tr>
      <w:tr w:rsidR="0081482B" w:rsidRPr="0081482B" w:rsidTr="0081482B">
        <w:tc>
          <w:tcPr>
            <w:tcW w:w="1864" w:type="dxa"/>
            <w:vMerge/>
            <w:vAlign w:val="center"/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28" w:type="dxa"/>
            <w:vMerge/>
            <w:vAlign w:val="center"/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615" w:type="dxa"/>
            <w:noWrap/>
            <w:tcMar>
              <w:top w:w="144" w:type="dxa"/>
              <w:left w:w="168" w:type="dxa"/>
              <w:bottom w:w="144" w:type="dxa"/>
              <w:right w:w="168" w:type="dxa"/>
            </w:tcMar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148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 2 до 549 дней</w:t>
            </w:r>
            <w:r w:rsidRPr="0081482B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1</w:t>
            </w:r>
          </w:p>
        </w:tc>
        <w:tc>
          <w:tcPr>
            <w:tcW w:w="1360" w:type="dxa"/>
            <w:tcMar>
              <w:top w:w="144" w:type="dxa"/>
              <w:left w:w="168" w:type="dxa"/>
              <w:bottom w:w="144" w:type="dxa"/>
              <w:right w:w="168" w:type="dxa"/>
            </w:tcMar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148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12.00</w:t>
            </w:r>
          </w:p>
        </w:tc>
        <w:tc>
          <w:tcPr>
            <w:tcW w:w="1417" w:type="dxa"/>
            <w:tcMar>
              <w:top w:w="144" w:type="dxa"/>
              <w:left w:w="168" w:type="dxa"/>
              <w:bottom w:w="144" w:type="dxa"/>
              <w:right w:w="168" w:type="dxa"/>
            </w:tcMar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148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11.50</w:t>
            </w:r>
          </w:p>
        </w:tc>
      </w:tr>
      <w:tr w:rsidR="0081482B" w:rsidRPr="0081482B" w:rsidTr="0081482B">
        <w:tc>
          <w:tcPr>
            <w:tcW w:w="1864" w:type="dxa"/>
            <w:vMerge/>
            <w:vAlign w:val="center"/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28" w:type="dxa"/>
            <w:vMerge w:val="restart"/>
            <w:tcMar>
              <w:top w:w="144" w:type="dxa"/>
              <w:left w:w="168" w:type="dxa"/>
              <w:bottom w:w="144" w:type="dxa"/>
              <w:right w:w="168" w:type="dxa"/>
            </w:tcMar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148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Кредиты, обеспеченные нерыночными активами или поручительствами</w:t>
            </w:r>
          </w:p>
        </w:tc>
        <w:tc>
          <w:tcPr>
            <w:tcW w:w="2615" w:type="dxa"/>
            <w:noWrap/>
            <w:tcMar>
              <w:top w:w="144" w:type="dxa"/>
              <w:left w:w="168" w:type="dxa"/>
              <w:bottom w:w="144" w:type="dxa"/>
              <w:right w:w="168" w:type="dxa"/>
            </w:tcMar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148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 день</w:t>
            </w:r>
          </w:p>
        </w:tc>
        <w:tc>
          <w:tcPr>
            <w:tcW w:w="1360" w:type="dxa"/>
            <w:tcMar>
              <w:top w:w="144" w:type="dxa"/>
              <w:left w:w="168" w:type="dxa"/>
              <w:bottom w:w="144" w:type="dxa"/>
              <w:right w:w="168" w:type="dxa"/>
            </w:tcMar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148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11.50</w:t>
            </w:r>
          </w:p>
        </w:tc>
        <w:tc>
          <w:tcPr>
            <w:tcW w:w="1417" w:type="dxa"/>
            <w:tcMar>
              <w:top w:w="144" w:type="dxa"/>
              <w:left w:w="168" w:type="dxa"/>
              <w:bottom w:w="144" w:type="dxa"/>
              <w:right w:w="168" w:type="dxa"/>
            </w:tcMar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148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11.00</w:t>
            </w:r>
          </w:p>
        </w:tc>
      </w:tr>
      <w:tr w:rsidR="0081482B" w:rsidRPr="0081482B" w:rsidTr="0081482B">
        <w:tc>
          <w:tcPr>
            <w:tcW w:w="1864" w:type="dxa"/>
            <w:vMerge/>
            <w:vAlign w:val="center"/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28" w:type="dxa"/>
            <w:vMerge/>
            <w:vAlign w:val="center"/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615" w:type="dxa"/>
            <w:noWrap/>
            <w:tcMar>
              <w:top w:w="144" w:type="dxa"/>
              <w:left w:w="168" w:type="dxa"/>
              <w:bottom w:w="144" w:type="dxa"/>
              <w:right w:w="168" w:type="dxa"/>
            </w:tcMar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148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 2 до 549 дней</w:t>
            </w:r>
            <w:r w:rsidRPr="0081482B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1</w:t>
            </w:r>
          </w:p>
        </w:tc>
        <w:tc>
          <w:tcPr>
            <w:tcW w:w="1360" w:type="dxa"/>
            <w:tcMar>
              <w:top w:w="144" w:type="dxa"/>
              <w:left w:w="168" w:type="dxa"/>
              <w:bottom w:w="144" w:type="dxa"/>
              <w:right w:w="168" w:type="dxa"/>
            </w:tcMar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148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12.25</w:t>
            </w:r>
          </w:p>
        </w:tc>
        <w:tc>
          <w:tcPr>
            <w:tcW w:w="1417" w:type="dxa"/>
            <w:tcMar>
              <w:top w:w="144" w:type="dxa"/>
              <w:left w:w="168" w:type="dxa"/>
              <w:bottom w:w="144" w:type="dxa"/>
              <w:right w:w="168" w:type="dxa"/>
            </w:tcMar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148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11.75</w:t>
            </w:r>
          </w:p>
        </w:tc>
      </w:tr>
      <w:tr w:rsidR="0081482B" w:rsidRPr="0081482B" w:rsidTr="0081482B">
        <w:tc>
          <w:tcPr>
            <w:tcW w:w="1864" w:type="dxa"/>
            <w:vMerge/>
            <w:vAlign w:val="center"/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6" w:type="dxa"/>
            <w:vMerge w:val="restart"/>
            <w:tcMar>
              <w:top w:w="144" w:type="dxa"/>
              <w:left w:w="168" w:type="dxa"/>
              <w:bottom w:w="144" w:type="dxa"/>
              <w:right w:w="168" w:type="dxa"/>
            </w:tcMar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148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Операции на открытом рынке (минимальные процентные ставки)</w:t>
            </w:r>
          </w:p>
        </w:tc>
        <w:tc>
          <w:tcPr>
            <w:tcW w:w="1728" w:type="dxa"/>
            <w:tcMar>
              <w:top w:w="144" w:type="dxa"/>
              <w:left w:w="168" w:type="dxa"/>
              <w:bottom w:w="144" w:type="dxa"/>
              <w:right w:w="168" w:type="dxa"/>
            </w:tcMar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148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Аукционы по предоставлению кредитов, обеспеченных нерыночными активами</w:t>
            </w:r>
            <w:r w:rsidRPr="0081482B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1</w:t>
            </w:r>
          </w:p>
        </w:tc>
        <w:tc>
          <w:tcPr>
            <w:tcW w:w="2615" w:type="dxa"/>
            <w:noWrap/>
            <w:tcMar>
              <w:top w:w="144" w:type="dxa"/>
              <w:left w:w="168" w:type="dxa"/>
              <w:bottom w:w="144" w:type="dxa"/>
              <w:right w:w="168" w:type="dxa"/>
            </w:tcMar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148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 1 до 3 недель</w:t>
            </w:r>
            <w:r w:rsidRPr="0081482B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2</w:t>
            </w:r>
            <w:r w:rsidRPr="008148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, 3 месяца, 18 месяцев</w:t>
            </w:r>
            <w:r w:rsidRPr="0081482B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2</w:t>
            </w:r>
          </w:p>
        </w:tc>
        <w:tc>
          <w:tcPr>
            <w:tcW w:w="1360" w:type="dxa"/>
            <w:tcMar>
              <w:top w:w="144" w:type="dxa"/>
              <w:left w:w="168" w:type="dxa"/>
              <w:bottom w:w="144" w:type="dxa"/>
              <w:right w:w="168" w:type="dxa"/>
            </w:tcMar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148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10.75</w:t>
            </w:r>
          </w:p>
        </w:tc>
        <w:tc>
          <w:tcPr>
            <w:tcW w:w="1417" w:type="dxa"/>
            <w:tcMar>
              <w:top w:w="144" w:type="dxa"/>
              <w:left w:w="168" w:type="dxa"/>
              <w:bottom w:w="144" w:type="dxa"/>
              <w:right w:w="168" w:type="dxa"/>
            </w:tcMar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148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10.25</w:t>
            </w:r>
          </w:p>
        </w:tc>
      </w:tr>
      <w:tr w:rsidR="0081482B" w:rsidRPr="0081482B" w:rsidTr="0081482B">
        <w:tc>
          <w:tcPr>
            <w:tcW w:w="1864" w:type="dxa"/>
            <w:vMerge/>
            <w:vAlign w:val="center"/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28" w:type="dxa"/>
            <w:tcMar>
              <w:top w:w="144" w:type="dxa"/>
              <w:left w:w="168" w:type="dxa"/>
              <w:bottom w:w="144" w:type="dxa"/>
              <w:right w:w="168" w:type="dxa"/>
            </w:tcMar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148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Ломбардные кредитные аукционы</w:t>
            </w:r>
            <w:r w:rsidRPr="0081482B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1, 2</w:t>
            </w:r>
          </w:p>
        </w:tc>
        <w:tc>
          <w:tcPr>
            <w:tcW w:w="2615" w:type="dxa"/>
            <w:noWrap/>
            <w:tcMar>
              <w:top w:w="144" w:type="dxa"/>
              <w:left w:w="168" w:type="dxa"/>
              <w:bottom w:w="144" w:type="dxa"/>
              <w:right w:w="168" w:type="dxa"/>
            </w:tcMar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148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36 месяцев</w:t>
            </w:r>
          </w:p>
        </w:tc>
        <w:tc>
          <w:tcPr>
            <w:tcW w:w="1360" w:type="dxa"/>
            <w:tcMar>
              <w:top w:w="144" w:type="dxa"/>
              <w:left w:w="168" w:type="dxa"/>
              <w:bottom w:w="144" w:type="dxa"/>
              <w:right w:w="168" w:type="dxa"/>
            </w:tcMar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148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10.75</w:t>
            </w:r>
          </w:p>
        </w:tc>
        <w:tc>
          <w:tcPr>
            <w:tcW w:w="1417" w:type="dxa"/>
            <w:tcMar>
              <w:top w:w="144" w:type="dxa"/>
              <w:left w:w="168" w:type="dxa"/>
              <w:bottom w:w="144" w:type="dxa"/>
              <w:right w:w="168" w:type="dxa"/>
            </w:tcMar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148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10.25</w:t>
            </w:r>
          </w:p>
        </w:tc>
      </w:tr>
      <w:tr w:rsidR="0081482B" w:rsidRPr="0081482B" w:rsidTr="0081482B">
        <w:tc>
          <w:tcPr>
            <w:tcW w:w="1864" w:type="dxa"/>
            <w:vMerge/>
            <w:vAlign w:val="center"/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6" w:type="dxa"/>
            <w:vMerge/>
            <w:vAlign w:val="center"/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28" w:type="dxa"/>
            <w:tcMar>
              <w:top w:w="144" w:type="dxa"/>
              <w:left w:w="168" w:type="dxa"/>
              <w:bottom w:w="144" w:type="dxa"/>
              <w:right w:w="168" w:type="dxa"/>
            </w:tcMar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148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Аукционы РЕПО и валютный своп</w:t>
            </w:r>
          </w:p>
        </w:tc>
        <w:tc>
          <w:tcPr>
            <w:tcW w:w="2615" w:type="dxa"/>
            <w:noWrap/>
            <w:tcMar>
              <w:top w:w="144" w:type="dxa"/>
              <w:left w:w="168" w:type="dxa"/>
              <w:bottom w:w="144" w:type="dxa"/>
              <w:right w:w="168" w:type="dxa"/>
            </w:tcMar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148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 1 до 6 дней</w:t>
            </w:r>
            <w:r w:rsidRPr="0081482B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3</w:t>
            </w:r>
            <w:r w:rsidRPr="008148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, 1 неделя</w:t>
            </w:r>
          </w:p>
        </w:tc>
        <w:tc>
          <w:tcPr>
            <w:tcW w:w="1360" w:type="dxa"/>
            <w:vMerge w:val="restart"/>
            <w:tcMar>
              <w:top w:w="144" w:type="dxa"/>
              <w:left w:w="168" w:type="dxa"/>
              <w:bottom w:w="144" w:type="dxa"/>
              <w:right w:w="168" w:type="dxa"/>
            </w:tcMar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148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10.50 (ключевая ставка) </w:t>
            </w:r>
          </w:p>
        </w:tc>
        <w:tc>
          <w:tcPr>
            <w:tcW w:w="1417" w:type="dxa"/>
            <w:vMerge w:val="restart"/>
            <w:tcMar>
              <w:top w:w="144" w:type="dxa"/>
              <w:left w:w="168" w:type="dxa"/>
              <w:bottom w:w="144" w:type="dxa"/>
              <w:right w:w="168" w:type="dxa"/>
            </w:tcMar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148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10.00 (ключевая ставка) </w:t>
            </w:r>
          </w:p>
        </w:tc>
      </w:tr>
      <w:tr w:rsidR="0081482B" w:rsidRPr="0081482B" w:rsidTr="0081482B">
        <w:tc>
          <w:tcPr>
            <w:tcW w:w="1864" w:type="dxa"/>
            <w:vMerge w:val="restart"/>
            <w:tcMar>
              <w:top w:w="144" w:type="dxa"/>
              <w:left w:w="168" w:type="dxa"/>
              <w:bottom w:w="144" w:type="dxa"/>
              <w:right w:w="168" w:type="dxa"/>
            </w:tcMar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148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Абсорбирование ликвидности</w:t>
            </w:r>
          </w:p>
        </w:tc>
        <w:tc>
          <w:tcPr>
            <w:tcW w:w="1526" w:type="dxa"/>
            <w:tcMar>
              <w:top w:w="144" w:type="dxa"/>
              <w:left w:w="168" w:type="dxa"/>
              <w:bottom w:w="144" w:type="dxa"/>
              <w:right w:w="168" w:type="dxa"/>
            </w:tcMar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148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Операции на открытом рынке (максимальные процентные ставки)</w:t>
            </w:r>
          </w:p>
        </w:tc>
        <w:tc>
          <w:tcPr>
            <w:tcW w:w="1728" w:type="dxa"/>
            <w:tcMar>
              <w:top w:w="144" w:type="dxa"/>
              <w:left w:w="168" w:type="dxa"/>
              <w:bottom w:w="144" w:type="dxa"/>
              <w:right w:w="168" w:type="dxa"/>
            </w:tcMar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148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Депозитные аукционы</w:t>
            </w:r>
          </w:p>
        </w:tc>
        <w:tc>
          <w:tcPr>
            <w:tcW w:w="2615" w:type="dxa"/>
            <w:noWrap/>
            <w:tcMar>
              <w:top w:w="144" w:type="dxa"/>
              <w:left w:w="168" w:type="dxa"/>
              <w:bottom w:w="144" w:type="dxa"/>
              <w:right w:w="168" w:type="dxa"/>
            </w:tcMar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148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 1 до 6 дней</w:t>
            </w:r>
            <w:r w:rsidRPr="0081482B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3</w:t>
            </w:r>
            <w:r w:rsidRPr="008148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, 1 неделя</w:t>
            </w:r>
          </w:p>
        </w:tc>
        <w:tc>
          <w:tcPr>
            <w:tcW w:w="1360" w:type="dxa"/>
            <w:vMerge/>
            <w:vAlign w:val="center"/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81482B" w:rsidRPr="0081482B" w:rsidTr="0081482B">
        <w:tc>
          <w:tcPr>
            <w:tcW w:w="1864" w:type="dxa"/>
            <w:vMerge/>
            <w:vAlign w:val="center"/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6" w:type="dxa"/>
            <w:tcMar>
              <w:top w:w="144" w:type="dxa"/>
              <w:left w:w="168" w:type="dxa"/>
              <w:bottom w:w="144" w:type="dxa"/>
              <w:right w:w="168" w:type="dxa"/>
            </w:tcMar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148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Операции постоянного действия</w:t>
            </w:r>
          </w:p>
        </w:tc>
        <w:tc>
          <w:tcPr>
            <w:tcW w:w="1728" w:type="dxa"/>
            <w:tcMar>
              <w:top w:w="144" w:type="dxa"/>
              <w:left w:w="168" w:type="dxa"/>
              <w:bottom w:w="144" w:type="dxa"/>
              <w:right w:w="168" w:type="dxa"/>
            </w:tcMar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148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Депозитные операции</w:t>
            </w:r>
          </w:p>
        </w:tc>
        <w:tc>
          <w:tcPr>
            <w:tcW w:w="2615" w:type="dxa"/>
            <w:noWrap/>
            <w:tcMar>
              <w:top w:w="144" w:type="dxa"/>
              <w:left w:w="168" w:type="dxa"/>
              <w:bottom w:w="144" w:type="dxa"/>
              <w:right w:w="168" w:type="dxa"/>
            </w:tcMar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148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 день, до востребования</w:t>
            </w:r>
          </w:p>
        </w:tc>
        <w:tc>
          <w:tcPr>
            <w:tcW w:w="1360" w:type="dxa"/>
            <w:tcMar>
              <w:top w:w="144" w:type="dxa"/>
              <w:left w:w="168" w:type="dxa"/>
              <w:bottom w:w="144" w:type="dxa"/>
              <w:right w:w="168" w:type="dxa"/>
            </w:tcMar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148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9.50</w:t>
            </w:r>
          </w:p>
        </w:tc>
        <w:tc>
          <w:tcPr>
            <w:tcW w:w="1417" w:type="dxa"/>
            <w:tcMar>
              <w:top w:w="144" w:type="dxa"/>
              <w:left w:w="168" w:type="dxa"/>
              <w:bottom w:w="144" w:type="dxa"/>
              <w:right w:w="168" w:type="dxa"/>
            </w:tcMar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8148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9.00</w:t>
            </w:r>
          </w:p>
        </w:tc>
      </w:tr>
      <w:tr w:rsidR="0081482B" w:rsidRPr="0081482B" w:rsidTr="0081482B">
        <w:trPr>
          <w:trHeight w:val="573"/>
        </w:trPr>
        <w:tc>
          <w:tcPr>
            <w:tcW w:w="9093" w:type="dxa"/>
            <w:gridSpan w:val="5"/>
            <w:tcMar>
              <w:top w:w="144" w:type="dxa"/>
              <w:left w:w="168" w:type="dxa"/>
              <w:bottom w:w="144" w:type="dxa"/>
              <w:right w:w="168" w:type="dxa"/>
            </w:tcMar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8148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Справочно</w:t>
            </w:r>
            <w:proofErr w:type="spellEnd"/>
            <w:r w:rsidRPr="008148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:</w:t>
            </w:r>
            <w:r w:rsidRPr="0081482B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br/>
            </w:r>
            <w:hyperlink r:id="rId10" w:tgtFrame="_blank" w:history="1">
              <w:r w:rsidRPr="0081482B">
                <w:rPr>
                  <w:rFonts w:ascii="Arial" w:eastAsia="Times New Roman" w:hAnsi="Arial" w:cs="Arial"/>
                  <w:color w:val="0000FF"/>
                  <w:sz w:val="19"/>
                  <w:szCs w:val="19"/>
                  <w:u w:val="single"/>
                  <w:lang w:eastAsia="ru-RU"/>
                </w:rPr>
                <w:t>Ставка</w:t>
              </w:r>
              <w:proofErr w:type="gramEnd"/>
              <w:r w:rsidRPr="0081482B">
                <w:rPr>
                  <w:rFonts w:ascii="Arial" w:eastAsia="Times New Roman" w:hAnsi="Arial" w:cs="Arial"/>
                  <w:color w:val="0000FF"/>
                  <w:sz w:val="19"/>
                  <w:szCs w:val="19"/>
                  <w:u w:val="single"/>
                  <w:lang w:eastAsia="ru-RU"/>
                </w:rPr>
                <w:t xml:space="preserve"> рефинансирования</w:t>
              </w:r>
            </w:hyperlink>
            <w:r w:rsidRPr="0081482B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4</w:t>
            </w:r>
          </w:p>
        </w:tc>
        <w:tc>
          <w:tcPr>
            <w:tcW w:w="1417" w:type="dxa"/>
            <w:noWrap/>
            <w:tcMar>
              <w:top w:w="144" w:type="dxa"/>
              <w:left w:w="168" w:type="dxa"/>
              <w:bottom w:w="144" w:type="dxa"/>
              <w:right w:w="168" w:type="dxa"/>
            </w:tcMar>
            <w:hideMark/>
          </w:tcPr>
          <w:p w:rsidR="0081482B" w:rsidRPr="0081482B" w:rsidRDefault="0081482B" w:rsidP="0081482B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81482B" w:rsidRPr="0081482B" w:rsidRDefault="0081482B" w:rsidP="0081482B">
      <w:pPr>
        <w:spacing w:after="0" w:line="240" w:lineRule="auto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7"/>
      </w:tblGrid>
      <w:tr w:rsidR="0081482B" w:rsidRPr="0081482B" w:rsidTr="0081482B">
        <w:tc>
          <w:tcPr>
            <w:tcW w:w="0" w:type="auto"/>
            <w:hideMark/>
          </w:tcPr>
          <w:p w:rsidR="0081482B" w:rsidRPr="0081482B" w:rsidRDefault="0081482B" w:rsidP="00814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1482B" w:rsidRPr="0081482B" w:rsidTr="0081482B">
        <w:tc>
          <w:tcPr>
            <w:tcW w:w="0" w:type="auto"/>
            <w:hideMark/>
          </w:tcPr>
          <w:p w:rsidR="0081482B" w:rsidRPr="0081482B" w:rsidRDefault="0081482B" w:rsidP="00814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48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8148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Кредиты, предоставляемые по плавающей процентной ставке, привязанной к уровню ключевой ставки Банка России.</w:t>
            </w:r>
          </w:p>
        </w:tc>
      </w:tr>
      <w:tr w:rsidR="0081482B" w:rsidRPr="0081482B" w:rsidTr="0081482B">
        <w:tc>
          <w:tcPr>
            <w:tcW w:w="0" w:type="auto"/>
            <w:hideMark/>
          </w:tcPr>
          <w:p w:rsidR="0081482B" w:rsidRPr="0081482B" w:rsidRDefault="0081482B" w:rsidP="00814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48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8148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 Проведение аукционов приостановлено с 1.07.2016. </w:t>
            </w:r>
          </w:p>
        </w:tc>
      </w:tr>
      <w:tr w:rsidR="0081482B" w:rsidRPr="0081482B" w:rsidTr="0081482B">
        <w:tc>
          <w:tcPr>
            <w:tcW w:w="0" w:type="auto"/>
            <w:hideMark/>
          </w:tcPr>
          <w:p w:rsidR="0081482B" w:rsidRPr="0081482B" w:rsidRDefault="0081482B" w:rsidP="00814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48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8148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Операции «тонкой настройки».</w:t>
            </w:r>
          </w:p>
        </w:tc>
      </w:tr>
      <w:tr w:rsidR="0081482B" w:rsidRPr="0081482B" w:rsidTr="0081482B">
        <w:tc>
          <w:tcPr>
            <w:tcW w:w="0" w:type="auto"/>
            <w:hideMark/>
          </w:tcPr>
          <w:p w:rsidR="0081482B" w:rsidRPr="0081482B" w:rsidRDefault="0081482B" w:rsidP="00814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148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ru-RU"/>
              </w:rPr>
              <w:t>4 </w:t>
            </w:r>
            <w:r w:rsidRPr="008148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Значение ставки рефинансирования Банка России с 01.01.2016 года </w:t>
            </w:r>
            <w:hyperlink r:id="rId11" w:tgtFrame="_blank" w:history="1">
              <w:r w:rsidRPr="0081482B">
                <w:rPr>
                  <w:rFonts w:ascii="Arial" w:eastAsia="Times New Roman" w:hAnsi="Arial" w:cs="Arial"/>
                  <w:i/>
                  <w:iCs/>
                  <w:color w:val="0000FF"/>
                  <w:sz w:val="20"/>
                  <w:szCs w:val="20"/>
                  <w:u w:val="single"/>
                  <w:lang w:eastAsia="ru-RU"/>
                </w:rPr>
                <w:t>приравнено</w:t>
              </w:r>
            </w:hyperlink>
            <w:r w:rsidRPr="0081482B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148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 значению ключевой ставки Банка России на соответствующую дату. С 01.01.2016 самостоятельное значение ставки рефина</w:t>
            </w:r>
            <w:bookmarkStart w:id="0" w:name="_GoBack"/>
            <w:bookmarkEnd w:id="0"/>
            <w:r w:rsidRPr="008148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нсирования не устанавливается. </w:t>
            </w:r>
            <w:hyperlink r:id="rId12" w:tgtFrame="_blank" w:history="1">
              <w:r w:rsidRPr="0081482B">
                <w:rPr>
                  <w:rFonts w:ascii="Arial" w:eastAsia="Times New Roman" w:hAnsi="Arial" w:cs="Arial"/>
                  <w:i/>
                  <w:iCs/>
                  <w:color w:val="0000FF"/>
                  <w:sz w:val="20"/>
                  <w:szCs w:val="20"/>
                  <w:u w:val="single"/>
                  <w:lang w:eastAsia="ru-RU"/>
                </w:rPr>
                <w:t>Значения ставки рефинансирования до 01.01.2016</w:t>
              </w:r>
            </w:hyperlink>
            <w:r w:rsidRPr="008148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1482B" w:rsidRPr="0081482B" w:rsidTr="0081482B">
        <w:tc>
          <w:tcPr>
            <w:tcW w:w="0" w:type="auto"/>
            <w:hideMark/>
          </w:tcPr>
          <w:p w:rsidR="0081482B" w:rsidRPr="0081482B" w:rsidRDefault="0081482B" w:rsidP="008148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hyperlink r:id="rId13" w:tgtFrame="_blank" w:history="1">
              <w:r w:rsidRPr="0081482B">
                <w:rPr>
                  <w:rFonts w:ascii="Arial" w:eastAsia="Times New Roman" w:hAnsi="Arial" w:cs="Arial"/>
                  <w:i/>
                  <w:iCs/>
                  <w:color w:val="0000FF"/>
                  <w:sz w:val="20"/>
                  <w:szCs w:val="20"/>
                  <w:u w:val="single"/>
                  <w:lang w:eastAsia="ru-RU"/>
                </w:rPr>
                <w:t>Процентные ставки по операциям Банка России, проведение которых приостановлено</w:t>
              </w:r>
            </w:hyperlink>
            <w:r w:rsidRPr="0081482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</w:tbl>
    <w:p w:rsidR="0081482B" w:rsidRPr="0081482B" w:rsidRDefault="0081482B" w:rsidP="0081482B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1482B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16 сентября 2016 года </w:t>
      </w:r>
    </w:p>
    <w:p w:rsidR="0081482B" w:rsidRPr="0081482B" w:rsidRDefault="0081482B" w:rsidP="008148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1482B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При использовании материала ссылка на Пресс-службу Банка России обязательна. </w:t>
      </w:r>
    </w:p>
    <w:p w:rsidR="0081482B" w:rsidRPr="0081482B" w:rsidRDefault="0081482B" w:rsidP="0081482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8"/>
          <w:szCs w:val="18"/>
          <w:lang w:eastAsia="ru-RU"/>
        </w:rPr>
      </w:pPr>
      <w:r w:rsidRPr="0081482B">
        <w:rPr>
          <w:rFonts w:ascii="Arial" w:eastAsia="Times New Roman" w:hAnsi="Arial" w:cs="Arial"/>
          <w:vanish/>
          <w:sz w:val="18"/>
          <w:szCs w:val="18"/>
          <w:lang w:eastAsia="ru-RU"/>
        </w:rPr>
        <w:t>Конец формы</w:t>
      </w:r>
    </w:p>
    <w:p w:rsidR="0081482B" w:rsidRPr="0081482B" w:rsidRDefault="0081482B" w:rsidP="0081482B">
      <w:pPr>
        <w:numPr>
          <w:ilvl w:val="0"/>
          <w:numId w:val="1"/>
        </w:numPr>
        <w:spacing w:after="0" w:line="240" w:lineRule="auto"/>
        <w:ind w:left="109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4" w:history="1">
        <w:r w:rsidRPr="0081482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О сайте</w:t>
        </w:r>
      </w:hyperlink>
    </w:p>
    <w:p w:rsidR="0081482B" w:rsidRPr="0081482B" w:rsidRDefault="0081482B" w:rsidP="0081482B">
      <w:pPr>
        <w:numPr>
          <w:ilvl w:val="0"/>
          <w:numId w:val="1"/>
        </w:numPr>
        <w:spacing w:after="0" w:line="240" w:lineRule="auto"/>
        <w:ind w:left="109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5" w:history="1">
        <w:r w:rsidRPr="0081482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Архив</w:t>
        </w:r>
      </w:hyperlink>
    </w:p>
    <w:p w:rsidR="0081482B" w:rsidRPr="0081482B" w:rsidRDefault="0081482B" w:rsidP="0081482B">
      <w:pPr>
        <w:numPr>
          <w:ilvl w:val="0"/>
          <w:numId w:val="1"/>
        </w:numPr>
        <w:spacing w:after="0" w:line="240" w:lineRule="auto"/>
        <w:ind w:left="109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6" w:history="1">
        <w:r w:rsidRPr="0081482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Поиск и карта сайта</w:t>
        </w:r>
      </w:hyperlink>
    </w:p>
    <w:p w:rsidR="0081482B" w:rsidRPr="0081482B" w:rsidRDefault="0081482B" w:rsidP="0081482B">
      <w:pPr>
        <w:numPr>
          <w:ilvl w:val="0"/>
          <w:numId w:val="1"/>
        </w:numPr>
        <w:spacing w:after="0" w:line="240" w:lineRule="auto"/>
        <w:ind w:left="1095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7" w:history="1">
        <w:r w:rsidRPr="0081482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Другие ресурсы</w:t>
        </w:r>
      </w:hyperlink>
      <w:r w:rsidRPr="0081482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81482B" w:rsidRPr="0081482B" w:rsidRDefault="0081482B" w:rsidP="008148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1482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© Банк России, 2000–2016</w:t>
      </w:r>
    </w:p>
    <w:p w:rsidR="0081482B" w:rsidRPr="0081482B" w:rsidRDefault="0081482B" w:rsidP="0081482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8"/>
          <w:szCs w:val="18"/>
          <w:lang w:eastAsia="ru-RU"/>
        </w:rPr>
      </w:pPr>
      <w:r w:rsidRPr="0081482B">
        <w:rPr>
          <w:rFonts w:ascii="Arial" w:eastAsia="Times New Roman" w:hAnsi="Arial" w:cs="Arial"/>
          <w:vanish/>
          <w:sz w:val="18"/>
          <w:szCs w:val="18"/>
          <w:lang w:eastAsia="ru-RU"/>
        </w:rPr>
        <w:t>Начало формы</w:t>
      </w:r>
    </w:p>
    <w:p w:rsidR="0081482B" w:rsidRPr="0081482B" w:rsidRDefault="0081482B" w:rsidP="008148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1482B">
        <w:rPr>
          <w:rFonts w:ascii="Arial" w:eastAsia="Times New Roman" w:hAnsi="Arial" w:cs="Arial"/>
          <w:color w:val="000000"/>
          <w:sz w:val="18"/>
          <w:szCs w:val="18"/>
          <w:lang w:eastAsia="ru-RU"/>
        </w:rPr>
        <w:object w:dxaOrig="1440" w:dyaOrig="1440">
          <v:shape id="_x0000_i1074" type="#_x0000_t75" style="width:32.4pt;height:20.4pt" o:ole="">
            <v:imagedata r:id="rId18" o:title=""/>
          </v:shape>
          <w:control r:id="rId19" w:name="DefaultOcxName3" w:shapeid="_x0000_i1074"/>
        </w:object>
      </w:r>
    </w:p>
    <w:p w:rsidR="0081482B" w:rsidRPr="0081482B" w:rsidRDefault="0081482B" w:rsidP="0081482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8"/>
          <w:szCs w:val="18"/>
          <w:lang w:eastAsia="ru-RU"/>
        </w:rPr>
      </w:pPr>
      <w:r w:rsidRPr="0081482B">
        <w:rPr>
          <w:rFonts w:ascii="Arial" w:eastAsia="Times New Roman" w:hAnsi="Arial" w:cs="Arial"/>
          <w:vanish/>
          <w:sz w:val="18"/>
          <w:szCs w:val="18"/>
          <w:lang w:eastAsia="ru-RU"/>
        </w:rPr>
        <w:t>Конец формы</w:t>
      </w:r>
    </w:p>
    <w:p w:rsidR="0081482B" w:rsidRPr="0081482B" w:rsidRDefault="0081482B" w:rsidP="008148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1482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Адрес: ул. </w:t>
      </w:r>
      <w:proofErr w:type="spellStart"/>
      <w:r w:rsidRPr="0081482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Неглинная</w:t>
      </w:r>
      <w:proofErr w:type="spellEnd"/>
      <w:r w:rsidRPr="0081482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12, Москва, 107016</w:t>
      </w:r>
    </w:p>
    <w:p w:rsidR="0081482B" w:rsidRPr="0081482B" w:rsidRDefault="0081482B" w:rsidP="008148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1482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Телефоны: 8 800 250-40-72 (для бесплатных звонков из регионов России), +7 495 771-91-00 (круглосуточно, по рабочим дням), факс: +7 495 621-64-65</w:t>
      </w:r>
    </w:p>
    <w:p w:rsidR="0081482B" w:rsidRPr="0081482B" w:rsidRDefault="0081482B" w:rsidP="008148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0" w:history="1">
        <w:r w:rsidRPr="0081482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Контактная информация</w:t>
        </w:r>
      </w:hyperlink>
    </w:p>
    <w:p w:rsidR="0081482B" w:rsidRPr="0081482B" w:rsidRDefault="0081482B" w:rsidP="008148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1" w:history="1">
        <w:r w:rsidRPr="0081482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Банк России не рассылает SMS-сообщения</w:t>
        </w:r>
      </w:hyperlink>
    </w:p>
    <w:p w:rsidR="0081482B" w:rsidRPr="0081482B" w:rsidRDefault="0081482B" w:rsidP="008148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1482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Вся официальная контактная информация Банка России представлена на официальном сайте Банка России </w:t>
      </w:r>
      <w:hyperlink r:id="rId22" w:history="1">
        <w:r w:rsidRPr="0081482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www.cbr.ru</w:t>
        </w:r>
      </w:hyperlink>
    </w:p>
    <w:p w:rsidR="0081482B" w:rsidRPr="0081482B" w:rsidRDefault="0081482B" w:rsidP="0081482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1482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 вопросам, связанным с работой сайта, обращайтесь по адресу: </w:t>
      </w:r>
      <w:hyperlink r:id="rId23" w:history="1">
        <w:r w:rsidRPr="0081482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webmaster@www.cbr.ru</w:t>
        </w:r>
      </w:hyperlink>
    </w:p>
    <w:p w:rsidR="00D34F67" w:rsidRPr="0081482B" w:rsidRDefault="00D34F67">
      <w:pPr>
        <w:rPr>
          <w:sz w:val="18"/>
          <w:szCs w:val="18"/>
        </w:rPr>
      </w:pPr>
    </w:p>
    <w:sectPr w:rsidR="00D34F67" w:rsidRPr="0081482B" w:rsidSect="0081482B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1302C"/>
    <w:multiLevelType w:val="multilevel"/>
    <w:tmpl w:val="A356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22"/>
    <w:rsid w:val="005F2922"/>
    <w:rsid w:val="0081482B"/>
    <w:rsid w:val="00D3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A3216-8B85-47D2-81EC-63C03C74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7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40156">
                      <w:marLeft w:val="4200"/>
                      <w:marRight w:val="1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029129">
                          <w:marLeft w:val="0"/>
                          <w:marRight w:val="0"/>
                          <w:marTop w:val="744"/>
                          <w:marBottom w:val="0"/>
                          <w:divBdr>
                            <w:top w:val="single" w:sz="6" w:space="31" w:color="CBCBCB"/>
                            <w:left w:val="single" w:sz="6" w:space="31" w:color="CBCBCB"/>
                            <w:bottom w:val="single" w:sz="6" w:space="30" w:color="CBCBCB"/>
                            <w:right w:val="single" w:sz="6" w:space="31" w:color="CBCBCB"/>
                          </w:divBdr>
                          <w:divsChild>
                            <w:div w:id="172046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44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5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237898">
                              <w:marLeft w:val="0"/>
                              <w:marRight w:val="0"/>
                              <w:marTop w:val="1200"/>
                              <w:marBottom w:val="1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056948">
                              <w:marLeft w:val="0"/>
                              <w:marRight w:val="0"/>
                              <w:marTop w:val="1200"/>
                              <w:marBottom w:val="1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01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86">
                  <w:marLeft w:val="375"/>
                  <w:marRight w:val="375"/>
                  <w:marTop w:val="0"/>
                  <w:marBottom w:val="0"/>
                  <w:divBdr>
                    <w:top w:val="single" w:sz="6" w:space="31" w:color="C8C9B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93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4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/DKP/print.aspx?file=standart_system/rates_table_16.htm&amp;pid=dkp&amp;sid=ITM_49976" TargetMode="External"/><Relationship Id="rId13" Type="http://schemas.openxmlformats.org/officeDocument/2006/relationships/hyperlink" Target="http://www.cbr.ru/DKP/standart_system/rates_table.pdf" TargetMode="External"/><Relationship Id="rId18" Type="http://schemas.openxmlformats.org/officeDocument/2006/relationships/image" Target="media/image2.wmf"/><Relationship Id="rId3" Type="http://schemas.openxmlformats.org/officeDocument/2006/relationships/settings" Target="settings.xml"/><Relationship Id="rId21" Type="http://schemas.openxmlformats.org/officeDocument/2006/relationships/hyperlink" Target="http://www.cbr.ru/press/print.aspx?file=press_centre/sms.htm" TargetMode="External"/><Relationship Id="rId7" Type="http://schemas.openxmlformats.org/officeDocument/2006/relationships/hyperlink" Target="http://www.cbr.ru" TargetMode="External"/><Relationship Id="rId12" Type="http://schemas.openxmlformats.org/officeDocument/2006/relationships/hyperlink" Target="http://www.cbr.ru/pw.aspx?file=/statistics/credit_statistics/refinancing_rates.htm" TargetMode="External"/><Relationship Id="rId17" Type="http://schemas.openxmlformats.org/officeDocument/2006/relationships/hyperlink" Target="http://www.cbr.ru/links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br.ru/sitemap/" TargetMode="External"/><Relationship Id="rId20" Type="http://schemas.openxmlformats.org/officeDocument/2006/relationships/hyperlink" Target="http://www.cbr.ru/pw.aspx?file=/other/help.htm" TargetMode="Externa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hyperlink" Target="http://www.cbr.ru/DKP/standart_system/3894-u.pdf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hyperlink" Target="http://www.cbr.ru/archive/" TargetMode="External"/><Relationship Id="rId23" Type="http://schemas.openxmlformats.org/officeDocument/2006/relationships/hyperlink" Target="mailto:webmaster@www.cbr.ru" TargetMode="External"/><Relationship Id="rId10" Type="http://schemas.openxmlformats.org/officeDocument/2006/relationships/hyperlink" Target="http://www.cbr.ru/pw.aspx?file=/statistics/credit_statistics/refinancing_rates.htm" TargetMode="External"/><Relationship Id="rId19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hyperlink" Target="http://www.cbr.ru/DKP/?PrtId=cal_mp" TargetMode="External"/><Relationship Id="rId14" Type="http://schemas.openxmlformats.org/officeDocument/2006/relationships/hyperlink" Target="http://www.cbr.ru/About/" TargetMode="External"/><Relationship Id="rId22" Type="http://schemas.openxmlformats.org/officeDocument/2006/relationships/hyperlink" Target="http://www.cbr.ru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1379</Words>
  <Characters>7864</Characters>
  <Application>Microsoft Office Word</Application>
  <DocSecurity>0</DocSecurity>
  <Lines>65</Lines>
  <Paragraphs>18</Paragraphs>
  <ScaleCrop>false</ScaleCrop>
  <Company/>
  <LinksUpToDate>false</LinksUpToDate>
  <CharactersWithSpaces>9225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2016-09-21T04:17:00Z</dcterms:created>
  <dcterms:modified xsi:type="dcterms:W3CDTF">2016-09-21T04:24:00Z</dcterms:modified>
</cp:coreProperties>
</file>