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928" w:rsidRPr="00C76928" w:rsidRDefault="00C76928" w:rsidP="00C76928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C76928">
        <w:rPr>
          <w:rFonts w:ascii="Arial" w:eastAsia="Times New Roman" w:hAnsi="Arial" w:cs="Arial"/>
          <w:noProof/>
          <w:color w:val="0000FF"/>
          <w:sz w:val="21"/>
          <w:szCs w:val="21"/>
          <w:lang w:eastAsia="ru-RU"/>
        </w:rPr>
        <w:drawing>
          <wp:inline distT="0" distB="0" distL="0" distR="0" wp14:anchorId="1576346D" wp14:editId="3CFAC138">
            <wp:extent cx="1912620" cy="563880"/>
            <wp:effectExtent l="0" t="0" r="0" b="7620"/>
            <wp:docPr id="1" name="Рисунок 1" descr="Центральный банк Российской Федерац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нтральный банк Российской Федерац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28" w:rsidRPr="00C76928" w:rsidRDefault="00C76928" w:rsidP="00C76928">
      <w:pPr>
        <w:numPr>
          <w:ilvl w:val="0"/>
          <w:numId w:val="1"/>
        </w:numPr>
        <w:spacing w:before="100" w:beforeAutospacing="1" w:after="100" w:afterAutospacing="1" w:line="240" w:lineRule="auto"/>
        <w:ind w:left="418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Весь сайт </w:t>
      </w:r>
    </w:p>
    <w:p w:rsidR="00C76928" w:rsidRPr="00C76928" w:rsidRDefault="00C76928" w:rsidP="00C76928">
      <w:pPr>
        <w:numPr>
          <w:ilvl w:val="0"/>
          <w:numId w:val="1"/>
        </w:numPr>
        <w:spacing w:before="100" w:beforeAutospacing="1" w:after="100" w:afterAutospacing="1" w:line="240" w:lineRule="auto"/>
        <w:ind w:left="418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7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Пресс-служба Банка России</w:t>
        </w:r>
      </w:hyperlink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C76928" w:rsidRPr="00C76928" w:rsidRDefault="00C76928" w:rsidP="00C76928">
      <w:pPr>
        <w:spacing w:after="120" w:line="240" w:lineRule="auto"/>
        <w:outlineLvl w:val="0"/>
        <w:rPr>
          <w:rFonts w:ascii="Georgia" w:eastAsia="Times New Roman" w:hAnsi="Georgia" w:cs="Arial"/>
          <w:color w:val="000000"/>
          <w:kern w:val="36"/>
          <w:sz w:val="53"/>
          <w:szCs w:val="53"/>
          <w:lang w:eastAsia="ru-RU"/>
        </w:rPr>
      </w:pPr>
      <w:r w:rsidRPr="00C76928">
        <w:rPr>
          <w:rFonts w:ascii="Arial" w:eastAsia="Times New Roman" w:hAnsi="Arial" w:cs="Arial"/>
          <w:color w:val="000000"/>
          <w:kern w:val="36"/>
          <w:sz w:val="19"/>
          <w:szCs w:val="19"/>
          <w:lang w:eastAsia="ru-RU"/>
        </w:rPr>
        <w:pict/>
      </w:r>
      <w:r w:rsidRPr="00C76928">
        <w:rPr>
          <w:rFonts w:ascii="Georgia" w:eastAsia="Times New Roman" w:hAnsi="Georgia" w:cs="Arial"/>
          <w:color w:val="000000"/>
          <w:kern w:val="36"/>
          <w:sz w:val="53"/>
          <w:szCs w:val="53"/>
          <w:lang w:eastAsia="ru-RU"/>
        </w:rPr>
        <w:t>Пресс-служба Банка России</w:t>
      </w:r>
    </w:p>
    <w:p w:rsidR="00C76928" w:rsidRPr="00C76928" w:rsidRDefault="00C76928" w:rsidP="00C76928">
      <w:pP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6928">
        <w:rPr>
          <w:rFonts w:ascii="Times New Roman" w:eastAsia="Times New Roman" w:hAnsi="Times New Roman" w:cs="Arial"/>
          <w:color w:val="000000"/>
          <w:sz w:val="53"/>
          <w:szCs w:val="53"/>
          <w:lang w:eastAsia="ru-RU"/>
        </w:rPr>
        <w:pict/>
      </w:r>
      <w:r w:rsidRPr="00C7692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76928" w:rsidRPr="00C76928" w:rsidRDefault="00C76928" w:rsidP="00C76928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Центральный банк Российской Федерации (Банк </w:t>
      </w:r>
      <w:proofErr w:type="gramStart"/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России)</w:t>
      </w:r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Пресс</w:t>
      </w:r>
      <w:proofErr w:type="gramEnd"/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-служба</w:t>
      </w: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76928" w:rsidRPr="00C76928" w:rsidRDefault="00C76928" w:rsidP="00C76928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107016, Москва, ул. </w:t>
      </w:r>
      <w:proofErr w:type="spellStart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Неглинная</w:t>
      </w:r>
      <w:proofErr w:type="spellEnd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12</w:t>
      </w: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begin"/>
      </w: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HYPERLINK "http://www.cbr.ru" </w:instrText>
      </w: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separate"/>
      </w:r>
      <w:r w:rsidRPr="00C76928">
        <w:rPr>
          <w:rFonts w:ascii="Arial" w:eastAsia="Times New Roman" w:hAnsi="Arial" w:cs="Arial"/>
          <w:color w:val="0000FF"/>
          <w:sz w:val="21"/>
          <w:szCs w:val="21"/>
          <w:u w:val="single"/>
          <w:lang w:eastAsia="ru-RU"/>
        </w:rPr>
        <w:t>www.cbr.ru</w:t>
      </w: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C76928" w:rsidRPr="00C76928" w:rsidRDefault="00C76928" w:rsidP="00C76928">
      <w:pPr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Информация</w:t>
      </w:r>
    </w:p>
    <w:p w:rsidR="00C76928" w:rsidRPr="00C76928" w:rsidRDefault="00C76928" w:rsidP="00C76928">
      <w:pPr>
        <w:spacing w:before="360" w:after="180" w:line="240" w:lineRule="auto"/>
        <w:jc w:val="center"/>
        <w:outlineLvl w:val="3"/>
        <w:rPr>
          <w:rFonts w:ascii="Georgia" w:eastAsia="Times New Roman" w:hAnsi="Georgia" w:cs="Arial"/>
          <w:color w:val="000000"/>
          <w:sz w:val="32"/>
          <w:szCs w:val="32"/>
          <w:lang w:eastAsia="ru-RU"/>
        </w:rPr>
      </w:pPr>
      <w:r w:rsidRPr="00C76928">
        <w:rPr>
          <w:rFonts w:ascii="Georgia" w:eastAsia="Times New Roman" w:hAnsi="Georgia" w:cs="Arial"/>
          <w:color w:val="000000"/>
          <w:sz w:val="32"/>
          <w:szCs w:val="32"/>
          <w:lang w:eastAsia="ru-RU"/>
        </w:rPr>
        <w:t xml:space="preserve">Банк России принял решение снизить ключевую ставку до 10,50% годовых 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Совет директоров Банка России 10 июня 2016 года принял решение снизить </w:t>
      </w:r>
      <w:hyperlink r:id="rId8" w:tgtFrame="_blank" w:history="1"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ключевую ставку</w:t>
        </w:r>
      </w:hyperlink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до 10,50% годовых. Совет директоров отмечает позитивные процессы стабилизации инфляции, снижения инфляционных ожиданий и инфляционных рисков на фоне признаков приближающегося вхождения экономики в фазу восстановительного роста. Замедление инфляционных процессов позволяет с большей уверенностью рассчитывать на устойчивое снижение инфляции до уровня менее 5% в мае 2017 года и целевого уровня 4% в конце 2017 года с учетом принятого решения и сохранения умеренно жесткой денежно-кредитной политики. Банк России будет рассматривать возможность дальнейшего снижения ключевой ставки, оценивая инфляционные риски и соответствие динамики замедления инфляции прогнозной траектории. 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Принимая решение по ключевой ставке, Совет директоров Банка России исходил из следующего.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Первое. Возросла уверенность в устойчивости позитивных тенденций в динамике инфляции. Темпы роста потребительских цен оказались ниже, чем прогнозировалось. Годовая инфляция стабилизировалась на уровне 7,3%, месячная инфляция с учетом сезонности в годовом выражении — около 5%. Улучшение показателей экономической активности происходит при сохранении слабого потребительского спроса и высокой нормы сбережений, не создавая повышательного давления на потребительские цены. Инфляционные ожидания населения и бизнеса продолжают снижаться. Ситуация на мировых товарных рынках складывалась более благоприятно, чем ожидалось, что внесло вклад в снижение инфляции через динамику курса рубля и цен на продовольствие (влияние данных факторов имеет временный характер и будет снижаться, что учитывается при формировании прогноза инфляции). Регулируемые цены и тарифы будут проиндексированы в июле в соответствии с заявленными планами и в меньшей мере, чем годом ранее. В дальнейшем темпы роста потребительских цен продолжат снижаться, в первую очередь, под влиянием ограничений со стороны спроса. Банк России снизил прогноз по инфляции на конец 2016 года до 5-6%. С учетом принятого решения и сохранения текущей направленности денежно-кредитной политики годовая инфляция составит менее 5% в мае 2017 года и достигнет целевого уровня 4% в конце 2017 года.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Второе. Позитивные тенденции в экономике не сопровождаются усилением инфляционного давления. Данные о динамике ВВП в I квартале 2016 года, а также макроэкономические показатели за апрель подтверждают повышение устойчивости российской экономики к колебаниям цен на нефть. Продолжается развитие процессов </w:t>
      </w:r>
      <w:proofErr w:type="spellStart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импортозамещения</w:t>
      </w:r>
      <w:proofErr w:type="spellEnd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 расширения </w:t>
      </w:r>
      <w:proofErr w:type="spellStart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несырьевого</w:t>
      </w:r>
      <w:proofErr w:type="spellEnd"/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экспорта, наметились дополнительные зоны роста в промышленном производстве. Однако изменения в экономической динамике имеют неоднородный характер по отраслям и регионам. Сохраняется отрицательная динамика инвестиций, наблюдается стагнация по довольно широкому кругу отраслей, в том числе в тех, которые традиционно были источниками роста российской экономики. Тем не менее, позитивные сдвиги в экономике приближают ее вхождение в фазу восстановления — квартальный рост ВВП ожидается не позднее второго полугодия текущего года. В дальнейшем прогнозируется увеличение ВВП на 1,3% в 2017 году и сохранение невысоких годовых темпов роста выпуска товаров и услуг в последующие годы. Этот прогноз сделан на основе достаточно консервативной оценки среднегодовой цены на нефть — около 40 долларов США за баррель в трехлетней перспективе. 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Третье. Денежно-кредитные условия останутся умеренно жесткими, несмотря на их некоторое смягчение в связи со снижением дефицита ликвидности банковского сектора. Реальные процентные ставки в экономике (с учетом инфляционных ожиданий) сохранятся на уровне, стимулирующем сбережения и обеспечивающем спрос на кредит, не приводящий к росту инфляционного давления. Для обеспечения операционного контроля над уровнем и структурой рыночных процентных ставок в условиях намечающегося перехода к профициту ликвидности банковского сектора Банк России готов использовать необходимый набор инструментов, направленных на абсорбирование ликвидности.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Четвертое. Риски того, что инфляция не достигнет целевого уровня 4% в 2017 году, снизились, но остаются на повышенном уровне. Это связано, главным образом, с инерцией инфляционных ожиданий, отсутствием среднесрочной стратегии бюджетной консолидации, неопределенностью параметров дальнейшей индексации зарплат и пенсий. Негативное влияние на курсовые и инфляционные ожидания может оказывать и волатильность мировых товарных и финансовых рынков. Реализация этих рисков может стать причиной замедления процесса снижения инфляции. 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Банк России будет рассматривать возможность дальнейшего снижения ключевой ставки, оценивая инфляционные риски и соответствие динамики замедления инфляции прогнозной траектории. 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Следующее заседание Совета директоров Банка России, на котором будет рассматриваться вопрос об уровне ключевой ставки, запланировано на </w:t>
      </w:r>
      <w:hyperlink r:id="rId9" w:tgtFrame="_blank" w:history="1">
        <w:r w:rsidRPr="00C76928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ru-RU"/>
          </w:rPr>
          <w:t>29 июля 2016 года</w:t>
        </w:r>
      </w:hyperlink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Время публикации пресс-релиза о решении Совета директоров Банка России — 13:30 по московскому времени.</w:t>
      </w:r>
    </w:p>
    <w:p w:rsidR="00C76928" w:rsidRPr="00C76928" w:rsidRDefault="00C76928" w:rsidP="00C76928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Процентные ставки по основным операциям Банка России</w:t>
      </w:r>
      <w:r w:rsidRPr="00C76928">
        <w:rPr>
          <w:rFonts w:ascii="Arial" w:eastAsia="Times New Roman" w:hAnsi="Arial" w:cs="Arial"/>
          <w:b/>
          <w:bCs/>
          <w:color w:val="000000"/>
          <w:sz w:val="19"/>
          <w:szCs w:val="19"/>
          <w:vertAlign w:val="superscript"/>
          <w:lang w:eastAsia="ru-RU"/>
        </w:rPr>
        <w:t>1</w:t>
      </w:r>
      <w:r w:rsidRPr="00C7692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C7692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(% годовых)</w:t>
      </w:r>
    </w:p>
    <w:tbl>
      <w:tblPr>
        <w:tblW w:w="5000" w:type="pct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2054"/>
        <w:gridCol w:w="3014"/>
        <w:gridCol w:w="1671"/>
        <w:gridCol w:w="1008"/>
        <w:gridCol w:w="1008"/>
      </w:tblGrid>
      <w:tr w:rsidR="00C76928" w:rsidRPr="00C76928" w:rsidTr="00C76928"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Назначение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Вид инструмента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Инструмент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Срок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 03.08.15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 14.06.16</w:t>
            </w:r>
          </w:p>
        </w:tc>
      </w:tr>
      <w:tr w:rsidR="00C76928" w:rsidRPr="00C76928" w:rsidTr="00C76928">
        <w:trPr>
          <w:trHeight w:val="1564"/>
        </w:trPr>
        <w:tc>
          <w:tcPr>
            <w:tcW w:w="0" w:type="auto"/>
            <w:vMerge w:val="restart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Предоставление ликвидности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постоянного действия (по фиксированным процентным ставкам)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РЕПО; кредиты "</w:t>
            </w:r>
            <w:proofErr w:type="spellStart"/>
            <w:proofErr w:type="gramStart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овернайт«</w:t>
            </w:r>
            <w:proofErr w:type="gramEnd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;ломбардные</w:t>
            </w:r>
            <w:proofErr w:type="spellEnd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кредиты;кредиты</w:t>
            </w:r>
            <w:proofErr w:type="spellEnd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обеспеченные золотом; кредиты, обеспеченные нерыночными активами или поручительствами; сделки «валютный своп» (рублевая часть)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 день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12,00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11,50</w:t>
            </w:r>
          </w:p>
        </w:tc>
      </w:tr>
      <w:tr w:rsidR="00C76928" w:rsidRPr="00C76928" w:rsidTr="00C76928">
        <w:trPr>
          <w:trHeight w:val="845"/>
        </w:trPr>
        <w:tc>
          <w:tcPr>
            <w:tcW w:w="0" w:type="auto"/>
            <w:vMerge/>
            <w:vAlign w:val="center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на аукционной основе (минимальные процентные ставки)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Аукционы по предоставлению кредитов, обеспеченных нерыночными активами</w:t>
            </w:r>
            <w:r w:rsidRPr="00C76928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3 месяца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11,25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10,75</w:t>
            </w:r>
          </w:p>
        </w:tc>
      </w:tr>
      <w:tr w:rsidR="00C76928" w:rsidRPr="00C76928" w:rsidTr="00C76928">
        <w:tc>
          <w:tcPr>
            <w:tcW w:w="0" w:type="auto"/>
            <w:vMerge/>
            <w:vAlign w:val="center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Аукционы РЕПО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1 до 6 дней</w:t>
            </w:r>
            <w:r w:rsidRPr="00C76928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 xml:space="preserve">, 1 неделя </w:t>
            </w:r>
          </w:p>
        </w:tc>
        <w:tc>
          <w:tcPr>
            <w:tcW w:w="0" w:type="auto"/>
            <w:vMerge w:val="restart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11,00 (ключевая ставка)</w:t>
            </w:r>
          </w:p>
        </w:tc>
        <w:tc>
          <w:tcPr>
            <w:tcW w:w="0" w:type="auto"/>
            <w:vMerge w:val="restart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10,50 (ключевая ставка)</w:t>
            </w:r>
          </w:p>
        </w:tc>
      </w:tr>
      <w:tr w:rsidR="00C76928" w:rsidRPr="00C76928" w:rsidTr="00C76928">
        <w:tc>
          <w:tcPr>
            <w:tcW w:w="0" w:type="auto"/>
            <w:vMerge w:val="restart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Абсорбирование ликвидности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на аукционной основе (максимальные процентные ставки)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Депозитные аукционы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от 1 до 6 дней</w:t>
            </w:r>
            <w:r w:rsidRPr="00C76928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3</w:t>
            </w: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, 1 неделя</w:t>
            </w:r>
          </w:p>
        </w:tc>
        <w:tc>
          <w:tcPr>
            <w:tcW w:w="0" w:type="auto"/>
            <w:vMerge/>
            <w:vAlign w:val="center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C76928" w:rsidRPr="00C76928" w:rsidTr="00C76928">
        <w:tc>
          <w:tcPr>
            <w:tcW w:w="0" w:type="auto"/>
            <w:vMerge/>
            <w:vAlign w:val="center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Операции постоянного действия (по фиксированным процентным ставкам)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Депозитные операции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 день, до востребования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10,00</w:t>
            </w:r>
          </w:p>
        </w:tc>
        <w:tc>
          <w:tcPr>
            <w:tcW w:w="0" w:type="auto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9,50</w:t>
            </w:r>
          </w:p>
        </w:tc>
      </w:tr>
      <w:tr w:rsidR="00C76928" w:rsidRPr="00C76928" w:rsidTr="00C76928">
        <w:tc>
          <w:tcPr>
            <w:tcW w:w="0" w:type="auto"/>
            <w:gridSpan w:val="6"/>
            <w:hideMark/>
          </w:tcPr>
          <w:p w:rsidR="00C76928" w:rsidRPr="00C76928" w:rsidRDefault="00C76928" w:rsidP="00C76928">
            <w:pPr>
              <w:spacing w:after="48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proofErr w:type="spellStart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Справочно</w:t>
            </w:r>
            <w:proofErr w:type="spellEnd"/>
            <w:r w:rsidRPr="00C76928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: Ставка рефинансирования</w:t>
            </w:r>
            <w:r w:rsidRPr="00C76928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eastAsia="ru-RU"/>
              </w:rPr>
              <w:t>4</w:t>
            </w:r>
          </w:p>
        </w:tc>
      </w:tr>
    </w:tbl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1 </w:t>
      </w: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Информация о ставках по всем операциям Банка России представлена в таблице </w:t>
      </w:r>
      <w:hyperlink r:id="rId10" w:tgtFrame="_blank" w:history="1"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«Процентные ставки по операциям Банка России»</w:t>
        </w:r>
      </w:hyperlink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2 </w:t>
      </w: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Плавающая процентная ставка, привязанная к уровню ключевой ставки Банка России.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i/>
          <w:iCs/>
          <w:color w:val="000000"/>
          <w:sz w:val="19"/>
          <w:szCs w:val="19"/>
          <w:vertAlign w:val="superscript"/>
          <w:lang w:eastAsia="ru-RU"/>
        </w:rPr>
        <w:t>3</w:t>
      </w: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 Операции «тонкой настройки». 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 xml:space="preserve">Информация «О порядке проведения операций „тонкой </w:t>
        </w:r>
        <w:proofErr w:type="gramStart"/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настройки“</w:t>
        </w:r>
        <w:proofErr w:type="gramEnd"/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»</w:t>
        </w:r>
      </w:hyperlink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tgtFrame="_blank" w:history="1"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 xml:space="preserve">Информация «Об операциях „тонкой </w:t>
        </w:r>
        <w:proofErr w:type="gramStart"/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настройки“ по</w:t>
        </w:r>
        <w:proofErr w:type="gramEnd"/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 абсорбированию ликвидности»</w:t>
        </w:r>
      </w:hyperlink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vertAlign w:val="superscript"/>
          <w:lang w:eastAsia="ru-RU"/>
        </w:rPr>
        <w:t>4</w:t>
      </w: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Значение ставки рефинансирования Банка России с 01.01.2016 года приравнено к значению ключевой ставки Банка России на соответствующую дату. С 01.01.2016 самостоятельное значение ставки рефинансирования не устанавливается.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tgtFrame="_blank" w:history="1">
        <w:r w:rsidRPr="00C76928">
          <w:rPr>
            <w:rFonts w:ascii="Arial" w:eastAsia="Times New Roman" w:hAnsi="Arial" w:cs="Arial"/>
            <w:i/>
            <w:iCs/>
            <w:color w:val="0000FF"/>
            <w:sz w:val="21"/>
            <w:szCs w:val="21"/>
            <w:u w:val="single"/>
            <w:lang w:eastAsia="ru-RU"/>
          </w:rPr>
          <w:t>Значения ставки рефинансирования до 01.01.2016</w:t>
        </w:r>
      </w:hyperlink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10 июня 2016 года </w:t>
      </w:r>
    </w:p>
    <w:p w:rsidR="00C76928" w:rsidRPr="00C76928" w:rsidRDefault="00C76928" w:rsidP="00C76928">
      <w:pPr>
        <w:spacing w:before="100" w:before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При использовании материала ссылка на Пресс-службу Банка России обязательна. </w:t>
      </w:r>
    </w:p>
    <w:p w:rsidR="00C76928" w:rsidRPr="00C76928" w:rsidRDefault="00C76928" w:rsidP="00C769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692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76928" w:rsidRPr="00C76928" w:rsidRDefault="00C76928" w:rsidP="00C76928">
      <w:pPr>
        <w:numPr>
          <w:ilvl w:val="0"/>
          <w:numId w:val="2"/>
        </w:num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О сайте</w:t>
        </w:r>
      </w:hyperlink>
    </w:p>
    <w:p w:rsidR="00C76928" w:rsidRPr="00C76928" w:rsidRDefault="00C76928" w:rsidP="00C76928">
      <w:pPr>
        <w:numPr>
          <w:ilvl w:val="0"/>
          <w:numId w:val="2"/>
        </w:num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Архив</w:t>
        </w:r>
      </w:hyperlink>
    </w:p>
    <w:p w:rsidR="00C76928" w:rsidRPr="00C76928" w:rsidRDefault="00C76928" w:rsidP="00C76928">
      <w:pPr>
        <w:numPr>
          <w:ilvl w:val="0"/>
          <w:numId w:val="2"/>
        </w:num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Поиск и карта сайта</w:t>
        </w:r>
      </w:hyperlink>
    </w:p>
    <w:p w:rsidR="00C76928" w:rsidRPr="00C76928" w:rsidRDefault="00C76928" w:rsidP="00C76928">
      <w:pPr>
        <w:numPr>
          <w:ilvl w:val="0"/>
          <w:numId w:val="2"/>
        </w:numPr>
        <w:spacing w:before="100" w:beforeAutospacing="1" w:after="100" w:afterAutospacing="1" w:line="240" w:lineRule="auto"/>
        <w:ind w:left="1095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7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Другие ресурсы</w:t>
        </w:r>
      </w:hyperlink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</w:p>
    <w:p w:rsidR="00C76928" w:rsidRPr="00C76928" w:rsidRDefault="00C76928" w:rsidP="00C76928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© Банк России, 2000–2016</w:t>
      </w:r>
    </w:p>
    <w:p w:rsidR="00C76928" w:rsidRPr="00C76928" w:rsidRDefault="00C76928" w:rsidP="00C769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692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76928" w:rsidRPr="00C76928" w:rsidRDefault="00C76928" w:rsidP="00C76928">
      <w:pPr>
        <w:spacing w:after="36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4" type="#_x0000_t75" style="width:32.4pt;height:20.4pt" o:ole="">
            <v:imagedata r:id="rId18" o:title=""/>
          </v:shape>
          <w:control r:id="rId19" w:name="DefaultOcxName3" w:shapeid="_x0000_i1154"/>
        </w:object>
      </w:r>
    </w:p>
    <w:p w:rsidR="00C76928" w:rsidRPr="00C76928" w:rsidRDefault="00C76928" w:rsidP="00C769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7692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Адрес: ул. </w:t>
      </w:r>
      <w:proofErr w:type="spellStart"/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Неглинная</w:t>
      </w:r>
      <w:proofErr w:type="spellEnd"/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12, Москва, 107016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Телефоны: 8 800 250-40-72 (для бесплатных звонков из регионов России), +7 495 771-91-00 (круглосуточно, по рабочим дням), факс: +7 495 621-64-65</w:t>
      </w:r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0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Контактная информация</w:t>
        </w:r>
      </w:hyperlink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21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Банк России не рассылает SMS-сообщения</w:t>
        </w:r>
      </w:hyperlink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Вся официальная контактная информация Банка России представлена на официальном сайте Банка России </w:t>
      </w:r>
      <w:hyperlink r:id="rId22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www.cbr.ru</w:t>
        </w:r>
      </w:hyperlink>
    </w:p>
    <w:p w:rsidR="00C76928" w:rsidRPr="00C76928" w:rsidRDefault="00C76928" w:rsidP="00C76928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C76928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 вопросам, связанным с работой сайта, обращайтесь по адресу: </w:t>
      </w:r>
      <w:hyperlink r:id="rId23" w:history="1">
        <w:r w:rsidRPr="00C76928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ru-RU"/>
          </w:rPr>
          <w:t>webmaster@www.cbr.ru</w:t>
        </w:r>
      </w:hyperlink>
    </w:p>
    <w:p w:rsidR="00C76928" w:rsidRPr="00C76928" w:rsidRDefault="00C76928" w:rsidP="00C76928">
      <w:pPr>
        <w:shd w:val="clear" w:color="auto" w:fill="F7F3EB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noProof/>
          <w:vanish/>
          <w:color w:val="0000FF"/>
          <w:sz w:val="21"/>
          <w:szCs w:val="21"/>
          <w:lang w:eastAsia="ru-RU"/>
        </w:rPr>
        <w:drawing>
          <wp:inline distT="0" distB="0" distL="0" distR="0" wp14:anchorId="7A05EF27" wp14:editId="4E28DFAA">
            <wp:extent cx="1912620" cy="563880"/>
            <wp:effectExtent l="0" t="0" r="0" b="7620"/>
            <wp:docPr id="2" name="Рисунок 2" descr="Центральный банк Российской Федераци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Центральный банк Российской Федераци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928" w:rsidRPr="00C76928" w:rsidRDefault="00C76928" w:rsidP="00C76928">
      <w:pPr>
        <w:shd w:val="clear" w:color="auto" w:fill="F7F3EB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 xml:space="preserve">Весь сайт </w:t>
      </w:r>
    </w:p>
    <w:p w:rsidR="00C76928" w:rsidRPr="00C76928" w:rsidRDefault="00C76928" w:rsidP="00C76928">
      <w:pPr>
        <w:shd w:val="clear" w:color="auto" w:fill="F7F3EB"/>
        <w:spacing w:after="0" w:line="240" w:lineRule="auto"/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</w:pPr>
      <w:r w:rsidRPr="00C76928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t xml:space="preserve">закрыть </w:t>
      </w:r>
    </w:p>
    <w:p w:rsidR="00DC2C13" w:rsidRDefault="00C76928" w:rsidP="00C76928">
      <w:r w:rsidRPr="00C76928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pict/>
      </w:r>
      <w:r w:rsidRPr="00C76928">
        <w:rPr>
          <w:rFonts w:ascii="Arial" w:eastAsia="Times New Roman" w:hAnsi="Arial" w:cs="Arial"/>
          <w:vanish/>
          <w:color w:val="000000"/>
          <w:sz w:val="21"/>
          <w:szCs w:val="21"/>
          <w:lang w:eastAsia="ru-RU"/>
        </w:rPr>
        <w:pict/>
      </w:r>
    </w:p>
    <w:sectPr w:rsidR="00DC2C13" w:rsidSect="00C76928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F3A73"/>
    <w:multiLevelType w:val="multilevel"/>
    <w:tmpl w:val="0A60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021F8"/>
    <w:multiLevelType w:val="multilevel"/>
    <w:tmpl w:val="BE0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37"/>
    <w:rsid w:val="009A0037"/>
    <w:rsid w:val="00C76928"/>
    <w:rsid w:val="00DC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204C-D080-4FF2-9235-E3C3360B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2937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3326">
                  <w:marLeft w:val="375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7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30897">
                  <w:marLeft w:val="4200"/>
                  <w:marRight w:val="1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2793">
                      <w:marLeft w:val="0"/>
                      <w:marRight w:val="0"/>
                      <w:marTop w:val="744"/>
                      <w:marBottom w:val="0"/>
                      <w:divBdr>
                        <w:top w:val="single" w:sz="6" w:space="31" w:color="CBCBCB"/>
                        <w:left w:val="single" w:sz="6" w:space="31" w:color="CBCBCB"/>
                        <w:bottom w:val="single" w:sz="6" w:space="30" w:color="CBCBCB"/>
                        <w:right w:val="single" w:sz="6" w:space="31" w:color="CBCBCB"/>
                      </w:divBdr>
                      <w:divsChild>
                        <w:div w:id="17926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09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096294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20231">
                          <w:marLeft w:val="0"/>
                          <w:marRight w:val="0"/>
                          <w:marTop w:val="120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0800">
              <w:marLeft w:val="375"/>
              <w:marRight w:val="375"/>
              <w:marTop w:val="0"/>
              <w:marBottom w:val="0"/>
              <w:divBdr>
                <w:top w:val="single" w:sz="6" w:space="31" w:color="C8C9B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341178">
          <w:marLeft w:val="0"/>
          <w:marRight w:val="0"/>
          <w:marTop w:val="0"/>
          <w:marBottom w:val="0"/>
          <w:divBdr>
            <w:top w:val="single" w:sz="2" w:space="31" w:color="BBB6A2"/>
            <w:left w:val="single" w:sz="2" w:space="31" w:color="BBB6A2"/>
            <w:bottom w:val="single" w:sz="18" w:space="24" w:color="BBB6A2"/>
            <w:right w:val="single" w:sz="18" w:space="31" w:color="BBB6A2"/>
          </w:divBdr>
          <w:divsChild>
            <w:div w:id="16243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DKP/print.aspx?file=standart_system/rates_table_16.htm&amp;pid=dkp&amp;sid=ITM_49976" TargetMode="External"/><Relationship Id="rId13" Type="http://schemas.openxmlformats.org/officeDocument/2006/relationships/hyperlink" Target="http://www.cbr.ru/pw.aspx?file=/statistics/credit_statistics/refinancing_rates.htm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yperlink" Target="http://www.cbr.ru/press/print.aspx?file=press_centre/sms.htm" TargetMode="External"/><Relationship Id="rId7" Type="http://schemas.openxmlformats.org/officeDocument/2006/relationships/hyperlink" Target="http://www.cbr.ru/Press/" TargetMode="External"/><Relationship Id="rId12" Type="http://schemas.openxmlformats.org/officeDocument/2006/relationships/hyperlink" Target="http://www.cbr.ru/press/PR.aspx?file=14022014_134218stavka-likvidnost.htm" TargetMode="External"/><Relationship Id="rId17" Type="http://schemas.openxmlformats.org/officeDocument/2006/relationships/hyperlink" Target="http://www.cbr.ru/link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br.ru/sitemap/" TargetMode="External"/><Relationship Id="rId20" Type="http://schemas.openxmlformats.org/officeDocument/2006/relationships/hyperlink" Target="http://www.cbr.ru/pw.aspx?file=/other/help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br.ru/press/PR.aspx?file=29012014_182938DKP.ht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br.ru/" TargetMode="External"/><Relationship Id="rId15" Type="http://schemas.openxmlformats.org/officeDocument/2006/relationships/hyperlink" Target="http://www.cbr.ru/archive/" TargetMode="External"/><Relationship Id="rId23" Type="http://schemas.openxmlformats.org/officeDocument/2006/relationships/hyperlink" Target="mailto:webmaster@www.cbr.ru" TargetMode="External"/><Relationship Id="rId10" Type="http://schemas.openxmlformats.org/officeDocument/2006/relationships/hyperlink" Target="http://www.cbr.ru/DKP/print.aspx?file=standart_system/rates_table_16.htm&amp;pid=dkp&amp;sid=ITM_49976" TargetMode="External"/><Relationship Id="rId19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://www.cbr.ru/DKP/?PrtId=cal_mp" TargetMode="External"/><Relationship Id="rId14" Type="http://schemas.openxmlformats.org/officeDocument/2006/relationships/hyperlink" Target="http://www.cbr.ru/About/" TargetMode="External"/><Relationship Id="rId22" Type="http://schemas.openxmlformats.org/officeDocument/2006/relationships/hyperlink" Target="http://www.cbr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2016-09-08T06:12:00Z</dcterms:created>
  <dcterms:modified xsi:type="dcterms:W3CDTF">2016-09-08T06:18:00Z</dcterms:modified>
</cp:coreProperties>
</file>