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Default="00727C48" w:rsidP="00727C4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4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727C48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 муниципального имущества</w:t>
      </w:r>
      <w:bookmarkEnd w:id="0"/>
      <w:r w:rsidRPr="00727C48">
        <w:rPr>
          <w:rFonts w:ascii="Times New Roman" w:hAnsi="Times New Roman" w:cs="Times New Roman"/>
          <w:b/>
          <w:sz w:val="28"/>
          <w:szCs w:val="28"/>
        </w:rPr>
        <w:t>»</w:t>
      </w:r>
    </w:p>
    <w:p w:rsidR="00727C48" w:rsidRDefault="00727C48" w:rsidP="00727C4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22 июля 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21 декабря 2001 г. № 178-ФЗ «О приватизации государственного и муниципального имущества»;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24 июля 2007 г. № 209-ФЗ «О развитии малого и среднего предпринимательства в Российской Федерации»;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29 июля 1998 г. № 135-ФЗ «Об оценочной деятельности в Российской Федерации»;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26 июля 2006 г. № 135-ФЗ «О защите конкуренции»;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Правительства РФ от 27 августа 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13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утвержденное решением Думы Пермского муниципального округа Пермского края от 22 декабря 2022 г. № 76;</w:t>
      </w:r>
      <w:proofErr w:type="gramEnd"/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Порядок приватизации муниципального имущества Пермского муниципального округа Пермского края, утвержденный решением Думы </w:t>
      </w: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Пермского муниципального округа Пермского края от 15 декабря 2022 г. № 63;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81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727C48" w:rsidRPr="00727C48" w:rsidRDefault="00727C48" w:rsidP="00727C48">
      <w:pPr>
        <w:suppressLineNumbers/>
        <w:suppressAutoHyphens/>
        <w:spacing w:after="0" w:line="360" w:lineRule="exact"/>
        <w:ind w:right="42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Устав Пермского муниципального округа Пермского края.</w:t>
      </w:r>
    </w:p>
    <w:p w:rsidR="00727C48" w:rsidRPr="00727C48" w:rsidRDefault="00727C48" w:rsidP="00727C4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31" w:rsidRPr="00503C50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27C48"/>
    <w:rsid w:val="007F1F2E"/>
    <w:rsid w:val="00913CF2"/>
    <w:rsid w:val="009775B1"/>
    <w:rsid w:val="00A03240"/>
    <w:rsid w:val="00A71996"/>
    <w:rsid w:val="00A8135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2024-05-14T09:42:00Z</dcterms:modified>
</cp:coreProperties>
</file>